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1A1A"/>
          <w:sz w:val="40"/>
          <w:szCs w:val="40"/>
        </w:rPr>
        <w:t xml:space="preserve">OptiPricePro C++ Studio</w:t>
      </w:r>
    </w:p>
    <w:p>
      <w:pPr>
        <w:spacing w:after="80"/>
      </w:pPr>
      <w:r>
        <w:rPr>
          <w:rFonts w:ascii="Calibri" w:cs="Calibri" w:eastAsia="Calibri" w:hAnsi="Calibri"/>
          <w:color w:val="1A1A1A"/>
          <w:sz w:val="30"/>
          <w:szCs w:val="30"/>
        </w:rPr>
        <w:t xml:space="preserve">User Guide</w:t>
      </w:r>
    </w:p>
    <w:p>
      <w:pPr>
        <w:spacing w:after="40"/>
      </w:pPr>
      <w:r>
        <w:rPr>
          <w:rFonts w:ascii="Calibri" w:cs="Calibri" w:eastAsia="Calibri" w:hAnsi="Calibri"/>
          <w:color w:val="1A1A1A"/>
          <w:sz w:val="22"/>
          <w:szCs w:val="22"/>
        </w:rPr>
        <w:t xml:space="preserve">Studio 1.0.3 · Engine v2.4 · July 2026</w:t>
      </w:r>
    </w:p>
    <w:p>
      <w:pPr>
        <w:pBdr>
          <w:bottom w:val="single" w:color="888888" w:sz="6" w:space="6"/>
        </w:pBdr>
        <w:spacing w:after="360"/>
      </w:pPr>
      <w:r>
        <w:rPr>
          <w:rFonts w:ascii="Calibri" w:cs="Calibri" w:eastAsia="Calibri" w:hAnsi="Calibri"/>
          <w:color w:val="1A1A1A"/>
          <w:sz w:val="22"/>
          <w:szCs w:val="22"/>
        </w:rPr>
        <w:t xml:space="preserve">Asteroid Belt Trading Company Limited</w:t>
      </w:r>
    </w:p>
    <w:p>
      <w:pPr>
        <w:keepNext/>
        <w:spacing w:after="140" w:before="300"/>
      </w:pPr>
      <w:r>
        <w:rPr>
          <w:rFonts w:ascii="Calibri" w:cs="Calibri" w:eastAsia="Calibri" w:hAnsi="Calibri"/>
          <w:b/>
          <w:bCs/>
          <w:color w:val="1A1A1A"/>
          <w:sz w:val="24"/>
          <w:szCs w:val="24"/>
        </w:rPr>
        <w:t xml:space="preserve">1. What Studio is</w:t>
      </w:r>
    </w:p>
    <w:p>
      <w:pPr>
        <w:spacing w:after="120" w:line="276"/>
      </w:pPr>
      <w:r>
        <w:rPr>
          <w:rFonts w:ascii="Calibri" w:cs="Calibri" w:eastAsia="Calibri" w:hAnsi="Calibri"/>
          <w:color w:val="1A1A1A"/>
          <w:sz w:val="21"/>
          <w:szCs w:val="21"/>
        </w:rPr>
        <w:t xml:space="preserve">Studio is a workbench for the OptiPricePro C++ engine. It exposes everything the engine accepts, and nothing it does not.</w:t>
      </w:r>
    </w:p>
    <w:p>
      <w:pPr>
        <w:spacing w:after="120" w:line="276"/>
      </w:pPr>
      <w:r>
        <w:rPr>
          <w:rFonts w:ascii="Calibri" w:cs="Calibri" w:eastAsia="Calibri" w:hAnsi="Calibri"/>
          <w:b/>
          <w:bCs/>
          <w:color w:val="1A1A1A"/>
          <w:sz w:val="21"/>
          <w:szCs w:val="21"/>
        </w:rPr>
        <w:t xml:space="preserve">Every dropdown is populated from the service's own catalog rather than a list written into Studio,</w:t>
      </w:r>
      <w:r>
        <w:rPr>
          <w:rFonts w:ascii="Calibri" w:cs="Calibri" w:eastAsia="Calibri" w:hAnsi="Calibri"/>
          <w:color w:val="1A1A1A"/>
          <w:sz w:val="21"/>
          <w:szCs w:val="21"/>
        </w:rPr>
        <w:t xml:space="preserve"> so the workbench can never offer a model the engine does not implement, and never falls behind the engine when the engine gains one.</w:t>
      </w:r>
    </w:p>
    <w:p>
      <w:pPr>
        <w:spacing w:after="120" w:line="276"/>
      </w:pPr>
      <w:r>
        <w:rPr>
          <w:rFonts w:ascii="Calibri" w:cs="Calibri" w:eastAsia="Calibri" w:hAnsi="Calibri"/>
          <w:color w:val="1A1A1A"/>
          <w:sz w:val="21"/>
          <w:szCs w:val="21"/>
        </w:rPr>
        <w:t xml:space="preserve">Controls appear only when they mean something. Bermudan exercise dates appear when exercise is Bermudan; Heston parameters appear when the volatility model is Heston; the barrier levels appear only in a composition that has a barrier; the correlation matrix appears — at the right size — only when you have switched on enough stochastic factors to need one. If you cannot find a control, the reason is almost always that the selection above it has made the control irrelevant.</w:t>
      </w:r>
    </w:p>
    <w:p>
      <w:pPr>
        <w:keepNext/>
        <w:spacing w:after="140" w:before="300"/>
      </w:pPr>
      <w:r>
        <w:rPr>
          <w:rFonts w:ascii="Calibri" w:cs="Calibri" w:eastAsia="Calibri" w:hAnsi="Calibri"/>
          <w:b/>
          <w:bCs/>
          <w:color w:val="1A1A1A"/>
          <w:sz w:val="24"/>
          <w:szCs w:val="24"/>
        </w:rPr>
        <w:t xml:space="preserve">2. The sidebar: licence</w:t>
      </w:r>
    </w:p>
    <w:p>
      <w:pPr>
        <w:spacing w:after="120" w:line="276"/>
      </w:pPr>
      <w:r>
        <w:rPr>
          <w:rFonts w:ascii="Calibri" w:cs="Calibri" w:eastAsia="Calibri" w:hAnsi="Calibri"/>
          <w:color w:val="1A1A1A"/>
          <w:sz w:val="21"/>
          <w:szCs w:val="21"/>
        </w:rPr>
        <w:t xml:space="preserve">The sidebar holds your key and the service address. If you set the environment variable before launching, the key is already filled in.</w:t>
      </w:r>
    </w:p>
    <w:p>
      <w:pPr>
        <w:spacing w:after="120" w:line="276"/>
      </w:pPr>
      <w:r>
        <w:rPr>
          <w:rFonts w:ascii="Calibri" w:cs="Calibri" w:eastAsia="Calibri" w:hAnsi="Calibri"/>
          <w:b/>
          <w:bCs/>
          <w:color w:val="1A1A1A"/>
          <w:sz w:val="21"/>
          <w:szCs w:val="21"/>
        </w:rPr>
        <w:t xml:space="preserve">Check connection</w:t>
      </w:r>
      <w:r>
        <w:rPr>
          <w:rFonts w:ascii="Calibri" w:cs="Calibri" w:eastAsia="Calibri" w:hAnsi="Calibri"/>
          <w:color w:val="1A1A1A"/>
          <w:sz w:val="21"/>
          <w:szCs w:val="21"/>
        </w:rPr>
        <w:t xml:space="preserve"> reports your company name and a progress bar showing how much of your quota you have consumed. Use it whenever a valuation fails, before you start changing the request — it distinguishes a licence problem from a request problem.</w:t>
      </w:r>
    </w:p>
    <w:p>
      <w:pPr>
        <w:keepNext/>
        <w:spacing w:after="140" w:before="300"/>
      </w:pPr>
      <w:r>
        <w:rPr>
          <w:rFonts w:ascii="Calibri" w:cs="Calibri" w:eastAsia="Calibri" w:hAnsi="Calibri"/>
          <w:b/>
          <w:bCs/>
          <w:color w:val="1A1A1A"/>
          <w:sz w:val="24"/>
          <w:szCs w:val="24"/>
        </w:rPr>
        <w:t xml:space="preserve">3. Contract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Control</w:t>
            </w:r>
          </w:p>
        </w:tc>
        <w:tc>
          <w:tcPr>
            <w:tcW w:type="dxa" w:w="702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Notes</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Product</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Vanilla, arithmetic or geometric Asian, floating-strike or rolling-average. Rolling average adds an opening average and an averaging window.</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Payoff</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Call, Put, DigitalCall, DigitalPut. The digital payoffs add a payout amount.</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Exercise</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European, American or Bermudan.</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Regression degree</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Longstaff–Schwartz polynomial degree, for American and Bermudan only. Range 2 to 4, default 2.</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Exercise dates</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Bermudan only.</w:t>
            </w:r>
          </w:p>
        </w:tc>
      </w:tr>
    </w:tbl>
    <w:p>
      <w:pPr>
        <w:spacing w:after="60"/>
      </w:pPr>
    </w:p>
    <w:p>
      <w:pPr>
        <w:keepNext/>
        <w:spacing w:after="140" w:before="300"/>
      </w:pPr>
      <w:r>
        <w:rPr>
          <w:rFonts w:ascii="Calibri" w:cs="Calibri" w:eastAsia="Calibri" w:hAnsi="Calibri"/>
          <w:b/>
          <w:bCs/>
          <w:color w:val="1A1A1A"/>
          <w:sz w:val="24"/>
          <w:szCs w:val="24"/>
        </w:rPr>
        <w:t xml:space="preserve">4. Market</w:t>
      </w:r>
    </w:p>
    <w:p>
      <w:pPr>
        <w:spacing w:after="120" w:line="276"/>
      </w:pPr>
      <w:r>
        <w:rPr>
          <w:rFonts w:ascii="Calibri" w:cs="Calibri" w:eastAsia="Calibri" w:hAnsi="Calibri"/>
          <w:color w:val="1A1A1A"/>
          <w:sz w:val="21"/>
          <w:szCs w:val="21"/>
        </w:rPr>
        <w:t xml:space="preserve">Spot, strike, rate, volatility, dividend yield and maturity, together with the two simulation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5616"/>
      </w:tblGrid>
      <w:tr>
        <w:tc>
          <w:tcPr>
            <w:tcW w:type="dxa" w:w="187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Control</w:t>
            </w:r>
          </w:p>
        </w:tc>
        <w:tc>
          <w:tcPr>
            <w:tcW w:type="dxa" w:w="187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Studio default</w:t>
            </w:r>
          </w:p>
        </w:tc>
        <w:tc>
          <w:tcPr>
            <w:tcW w:type="dxa" w:w="5616"/>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Notes</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50,000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Precision. The standard error falls as the square root, so four times the paths halves the error.</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Time steps</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25</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Resolution. Matters most for barriers, lookbacks, Asians and early exercise.</w:t>
            </w:r>
          </w:p>
        </w:tc>
      </w:tr>
    </w:tbl>
    <w:p>
      <w:pPr>
        <w:spacing w:after="60"/>
      </w:pPr>
    </w:p>
    <w:p>
      <w:pPr>
        <w:spacing w:after="120" w:line="276"/>
      </w:pPr>
      <w:r>
        <w:rPr>
          <w:rFonts w:ascii="Calibri" w:cs="Calibri" w:eastAsia="Calibri" w:hAnsi="Calibri"/>
          <w:b/>
          <w:bCs/>
          <w:color w:val="1A1A1A"/>
          <w:sz w:val="21"/>
          <w:szCs w:val="21"/>
        </w:rPr>
        <w:t xml:space="preserve">These two multiply.</w:t>
      </w:r>
      <w:r>
        <w:rPr>
          <w:rFonts w:ascii="Calibri" w:cs="Calibri" w:eastAsia="Calibri" w:hAnsi="Calibri"/>
          <w:color w:val="1A1A1A"/>
          <w:sz w:val="21"/>
          <w:szCs w:val="21"/>
        </w:rPr>
        <w:t xml:space="preserve"> Memory grows with their product, which is why the limit is on the product and why the banner above the Evaluate button quotes path-steps rather than paths.</w:t>
      </w:r>
    </w:p>
    <w:p>
      <w:pPr>
        <w:keepNext/>
        <w:spacing w:after="140" w:before="300"/>
      </w:pPr>
      <w:r>
        <w:rPr>
          <w:rFonts w:ascii="Calibri" w:cs="Calibri" w:eastAsia="Calibri" w:hAnsi="Calibri"/>
          <w:b/>
          <w:bCs/>
          <w:color w:val="1A1A1A"/>
          <w:sz w:val="24"/>
          <w:szCs w:val="24"/>
        </w:rPr>
        <w:t xml:space="preserve">5. Barrier and lookback</w:t>
      </w:r>
    </w:p>
    <w:p>
      <w:pPr>
        <w:spacing w:after="120" w:line="276"/>
      </w:pPr>
      <w:r>
        <w:rPr>
          <w:rFonts w:ascii="Calibri" w:cs="Calibri" w:eastAsia="Calibri" w:hAnsi="Calibri"/>
          <w:color w:val="1A1A1A"/>
          <w:sz w:val="21"/>
          <w:szCs w:val="21"/>
        </w:rPr>
        <w:t xml:space="preserve">Composition decides what the contract is. The barrier and lookback controls appear according to what the composition needs.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Composition</w:t>
            </w:r>
          </w:p>
        </w:tc>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What appears</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underlying only</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Neither.</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on underlying</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class, levels, rebates.</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 on underlying</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 class.</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 on barrier on underlying</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Both.</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on lookback on underlying</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Both.</w:t>
            </w:r>
          </w:p>
        </w:tc>
      </w:tr>
    </w:tbl>
    <w:p>
      <w:pPr>
        <w:spacing w:after="60"/>
      </w:pPr>
    </w:p>
    <w:p>
      <w:pPr>
        <w:spacing w:after="120" w:line="276"/>
      </w:pPr>
      <w:r>
        <w:rPr>
          <w:rFonts w:ascii="Calibri" w:cs="Calibri" w:eastAsia="Calibri" w:hAnsi="Calibri"/>
          <w:color w:val="1A1A1A"/>
          <w:sz w:val="21"/>
          <w:szCs w:val="21"/>
        </w:rPr>
        <w:t xml:space="preserve">The two nested orders describe the same contract and return the same value; Studio says so on screen when you choose either of them.</w:t>
      </w:r>
    </w:p>
    <w:p>
      <w:pPr>
        <w:spacing w:after="120" w:line="276"/>
      </w:pPr>
      <w:r>
        <w:rPr>
          <w:rFonts w:ascii="Calibri" w:cs="Calibri" w:eastAsia="Calibri" w:hAnsi="Calibri"/>
          <w:b/>
          <w:bCs/>
          <w:color w:val="1A1A1A"/>
          <w:sz w:val="21"/>
          <w:szCs w:val="21"/>
        </w:rPr>
        <w:t xml:space="preserve">NoBarrier</w:t>
      </w:r>
      <w:r>
        <w:rPr>
          <w:rFonts w:ascii="Calibri" w:cs="Calibri" w:eastAsia="Calibri" w:hAnsi="Calibri"/>
          <w:color w:val="1A1A1A"/>
          <w:sz w:val="21"/>
          <w:szCs w:val="21"/>
        </w:rPr>
        <w:t xml:space="preserve"> is a barrier object that never triggers, so a barrier composition can be priced with the barrier switched off — the natural control when you want the barrier's isolated worth. </w:t>
      </w:r>
      <w:r>
        <w:rPr>
          <w:rFonts w:ascii="Calibri" w:cs="Calibri" w:eastAsia="Calibri" w:hAnsi="Calibri"/>
          <w:b/>
          <w:bCs/>
          <w:color w:val="1A1A1A"/>
          <w:sz w:val="21"/>
          <w:szCs w:val="21"/>
        </w:rPr>
        <w:t xml:space="preserve">The eight continuous variants price a different contract,</w:t>
      </w:r>
      <w:r>
        <w:rPr>
          <w:rFonts w:ascii="Calibri" w:cs="Calibri" w:eastAsia="Calibri" w:hAnsi="Calibri"/>
          <w:color w:val="1A1A1A"/>
          <w:sz w:val="21"/>
          <w:szCs w:val="21"/>
        </w:rPr>
        <w:t xml:space="preserve"> monitored at every instant rather than at the step dates; a discretely monitored knock-out is worth more, because the path can cross the level and return between observations. Choose the one your term sheet describes.</w:t>
      </w:r>
    </w:p>
    <w:p>
      <w:pPr>
        <w:keepNext/>
        <w:spacing w:after="140" w:before="300"/>
      </w:pPr>
      <w:r>
        <w:rPr>
          <w:rFonts w:ascii="Calibri" w:cs="Calibri" w:eastAsia="Calibri" w:hAnsi="Calibri"/>
          <w:b/>
          <w:bCs/>
          <w:color w:val="1A1A1A"/>
          <w:sz w:val="24"/>
          <w:szCs w:val="24"/>
        </w:rPr>
        <w:t xml:space="preserve">6. Models</w:t>
      </w:r>
    </w:p>
    <w:p>
      <w:pPr>
        <w:spacing w:after="120" w:line="276"/>
      </w:pPr>
      <w:r>
        <w:rPr>
          <w:rFonts w:ascii="Calibri" w:cs="Calibri" w:eastAsia="Calibri" w:hAnsi="Calibri"/>
          <w:color w:val="1A1A1A"/>
          <w:sz w:val="21"/>
          <w:szCs w:val="21"/>
        </w:rPr>
        <w:t xml:space="preserve">The Models section is collapsed by default; everything inside it has a sensible constant default, so you can price a great deal without opening it.</w:t>
      </w:r>
    </w:p>
    <w:p>
      <w:pPr>
        <w:spacing w:after="120" w:line="276"/>
      </w:pPr>
      <w:r>
        <w:rPr>
          <w:rFonts w:ascii="Calibri" w:cs="Calibri" w:eastAsia="Calibri" w:hAnsi="Calibri"/>
          <w:color w:val="1A1A1A"/>
          <w:sz w:val="21"/>
          <w:szCs w:val="21"/>
        </w:rPr>
        <w:t xml:space="preserve">Opening it gives short rate, volatility, dividend, sentiment, sentiment volatility and stock-path generation, each with its parameters appearing when the corresponding model is chosen. The bottom row holds the three simulation selectors: random numbers, sampling, and Wiener process.</w:t>
      </w:r>
    </w:p>
    <w:p>
      <w:pPr>
        <w:spacing w:after="120" w:line="276"/>
      </w:pPr>
      <w:r>
        <w:rPr>
          <w:rFonts w:ascii="Calibri" w:cs="Calibri" w:eastAsia="Calibri" w:hAnsi="Calibri"/>
          <w:b/>
          <w:bCs/>
          <w:color w:val="1A1A1A"/>
          <w:sz w:val="21"/>
          <w:szCs w:val="21"/>
        </w:rPr>
        <w:t xml:space="preserve">Choosing a stochastic short rate now prompts for its term structures on the spot</w:t>
      </w:r>
      <w:r>
        <w:rPr>
          <w:rFonts w:ascii="Calibri" w:cs="Calibri" w:eastAsia="Calibri" w:hAnsi="Calibri"/>
          <w:color w:val="1A1A1A"/>
          <w:sz w:val="21"/>
          <w:szCs w:val="21"/>
        </w:rPr>
        <w:t xml:space="preserve"> — three CSV uploads (theta_t, sigma_t, b_t) appear directly under the rate parameters, with a downloadable example curve of the right length. A curve needs at least M + 1 values, one per step plus the start; longer curves are truncated with a notice. Manual comma-separated entry remains available in its own expander below; an uploaded CSV wins.</w:t>
      </w:r>
    </w:p>
    <w:p>
      <w:pPr>
        <w:keepNext/>
        <w:spacing w:after="140" w:before="300"/>
      </w:pPr>
      <w:r>
        <w:rPr>
          <w:rFonts w:ascii="Calibri" w:cs="Calibri" w:eastAsia="Calibri" w:hAnsi="Calibri"/>
          <w:b/>
          <w:bCs/>
          <w:color w:val="1A1A1A"/>
          <w:sz w:val="24"/>
          <w:szCs w:val="24"/>
        </w:rPr>
        <w:t xml:space="preserve">7. The correlation matrix</w:t>
      </w:r>
    </w:p>
    <w:p>
      <w:pPr>
        <w:spacing w:after="120" w:line="276"/>
      </w:pPr>
      <w:r>
        <w:rPr>
          <w:rFonts w:ascii="Calibri" w:cs="Calibri" w:eastAsia="Calibri" w:hAnsi="Calibri"/>
          <w:b/>
          <w:bCs/>
          <w:color w:val="1A1A1A"/>
          <w:sz w:val="21"/>
          <w:szCs w:val="21"/>
        </w:rPr>
        <w:t xml:space="preserve">Studio counts your stochastic factors and asks for exactly the matrix that count needs.</w:t>
      </w:r>
      <w:r>
        <w:rPr>
          <w:rFonts w:ascii="Calibri" w:cs="Calibri" w:eastAsia="Calibri" w:hAnsi="Calibri"/>
          <w:color w:val="1A1A1A"/>
          <w:sz w:val="21"/>
          <w:szCs w:val="21"/>
        </w:rPr>
        <w:t xml:space="preserve"> The count is one (equity, always stochastic) plus one for each non-constant model — volatility, sentiment, rate, dividend, sentiment volatility, in that order. The section title shows the count; with one factor it says there is nothing to correlate and asks for nothing.</w:t>
      </w:r>
    </w:p>
    <w:p>
      <w:pPr>
        <w:spacing w:after="120" w:line="276"/>
      </w:pPr>
      <w:r>
        <w:rPr>
          <w:rFonts w:ascii="Calibri" w:cs="Calibri" w:eastAsia="Calibri" w:hAnsi="Calibri"/>
          <w:color w:val="1A1A1A"/>
          <w:sz w:val="21"/>
          <w:szCs w:val="21"/>
        </w:rPr>
        <w:t xml:space="preserve">With two or more, Studio prompts for a CSV upload — Correlation2 for two factors, Correlation3 for three, and so on — a square matrix with no header row, exactly as the Pandas and JAX Studios take it. No upload means the identity, and Studio says so. A typed matrix in the text box beneath is the alternative; the CSV takes precedence.</w:t>
      </w:r>
    </w:p>
    <w:p>
      <w:pPr>
        <w:spacing w:after="120" w:line="276"/>
      </w:pPr>
      <w:r>
        <w:rPr>
          <w:rFonts w:ascii="Calibri" w:cs="Calibri" w:eastAsia="Calibri" w:hAnsi="Calibri"/>
          <w:color w:val="1A1A1A"/>
          <w:sz w:val="21"/>
          <w:szCs w:val="21"/>
        </w:rPr>
        <w:t xml:space="preserve">The everyday case: Heston volatility with everything else constant is two factors, and </w:t>
      </w:r>
      <w:r>
        <w:rPr>
          <w:rFonts w:ascii="Calibri" w:cs="Calibri" w:eastAsia="Calibri" w:hAnsi="Calibri"/>
          <w:b/>
          <w:bCs/>
          <w:color w:val="1A1A1A"/>
          <w:sz w:val="21"/>
          <w:szCs w:val="21"/>
        </w:rPr>
        <w:t xml:space="preserve">the off-diagonal of Correlation2 is the Heston equity/variance rho</w:t>
      </w:r>
      <w:r>
        <w:rPr>
          <w:rFonts w:ascii="Calibri" w:cs="Calibri" w:eastAsia="Calibri" w:hAnsi="Calibri"/>
          <w:color w:val="1A1A1A"/>
          <w:sz w:val="21"/>
          <w:szCs w:val="21"/>
        </w:rPr>
        <w:t xml:space="preserve">. Upload [[1, 0.5], [0.5, 1]] — two lines, “1, 0.5” and “0.5, 1” — and the valuation prices at rho = 0.5. Without it, Heston runs at rho = 0.</w:t>
      </w:r>
    </w:p>
    <w:p>
      <w:pPr>
        <w:keepNext/>
        <w:spacing w:after="140" w:before="300"/>
      </w:pPr>
      <w:r>
        <w:rPr>
          <w:rFonts w:ascii="Calibri" w:cs="Calibri" w:eastAsia="Calibri" w:hAnsi="Calibri"/>
          <w:b/>
          <w:bCs/>
          <w:color w:val="1A1A1A"/>
          <w:sz w:val="24"/>
          <w:szCs w:val="24"/>
        </w:rPr>
        <w:t xml:space="preserve">8. Importance sampling</w:t>
      </w:r>
    </w:p>
    <w:p>
      <w:pPr>
        <w:spacing w:after="120" w:line="276"/>
      </w:pPr>
      <w:r>
        <w:rPr>
          <w:rFonts w:ascii="Calibri" w:cs="Calibri" w:eastAsia="Calibri" w:hAnsi="Calibri"/>
          <w:color w:val="1A1A1A"/>
          <w:sz w:val="21"/>
          <w:szCs w:val="21"/>
        </w:rPr>
        <w:t xml:space="preserve">Its own section, between Models and Analytics. Tick the box, choose one of the eleven variants from the catalog, and set the mean tweak if the variant uses one.</w:t>
      </w:r>
    </w:p>
    <w:p>
      <w:pPr>
        <w:spacing w:after="120" w:line="276"/>
      </w:pPr>
      <w:r>
        <w:rPr>
          <w:rFonts w:ascii="Calibri" w:cs="Calibri" w:eastAsia="Calibri" w:hAnsi="Calibri"/>
          <w:color w:val="1A1A1A"/>
          <w:sz w:val="21"/>
          <w:szCs w:val="21"/>
        </w:rPr>
        <w:t xml:space="preserve">Studio enforces the combination rules on screen, in red, before anything is sent: importance sampling is European-only; the ChangeOfMean variants need the composition “underlying only”; ArithmeticAsian needs the arithmetic Asian underlying; a barrier variant needs a barrier composition whose barrier matches the variant by name.</w:t>
      </w:r>
    </w:p>
    <w:p>
      <w:pPr>
        <w:spacing w:after="120" w:line="276"/>
      </w:pPr>
      <w:r>
        <w:rPr>
          <w:rFonts w:ascii="Calibri" w:cs="Calibri" w:eastAsia="Calibri" w:hAnsi="Calibri"/>
          <w:b/>
          <w:bCs/>
          <w:color w:val="1A1A1A"/>
          <w:sz w:val="21"/>
          <w:szCs w:val="21"/>
        </w:rPr>
        <w:t xml:space="preserve">Three variants — UpAndOutBarrier, DoubleKnockOutBarrier and UpKnockInDownKnockOutBarrier — display a defect warning and should not be used.</w:t>
      </w:r>
      <w:r>
        <w:rPr>
          <w:rFonts w:ascii="Calibri" w:cs="Calibri" w:eastAsia="Calibri" w:hAnsi="Calibri"/>
          <w:color w:val="1A1A1A"/>
          <w:sz w:val="21"/>
          <w:szCs w:val="21"/>
        </w:rPr>
        <w:t xml:space="preserve"> Their tilt pushes paths away from the payoff region and the estimate collapses; the defect is in the shared algorithm, verified on both this engine and the Pandas engine, and stands until redesigned. The other eight are unbiased, and on rare-event contracts dramatically effective — a deep out-of-the-money DownAndIn returned the plain-Monte-Carlo price with an 85× smaller error.</w:t>
      </w:r>
    </w:p>
    <w:p>
      <w:pPr>
        <w:keepNext/>
        <w:spacing w:after="140" w:before="300"/>
      </w:pPr>
      <w:r>
        <w:rPr>
          <w:rFonts w:ascii="Calibri" w:cs="Calibri" w:eastAsia="Calibri" w:hAnsi="Calibri"/>
          <w:b/>
          <w:bCs/>
          <w:color w:val="1A1A1A"/>
          <w:sz w:val="24"/>
          <w:szCs w:val="24"/>
        </w:rPr>
        <w:t xml:space="preserve">9. Analytics</w:t>
      </w:r>
    </w:p>
    <w:p>
      <w:pPr>
        <w:keepNext/>
        <w:spacing w:after="140" w:before="300"/>
      </w:pPr>
      <w:r>
        <w:rPr>
          <w:rFonts w:ascii="Calibri" w:cs="Calibri" w:eastAsia="Calibri" w:hAnsi="Calibri"/>
          <w:b/>
          <w:bCs/>
          <w:color w:val="1A1A1A"/>
          <w:sz w:val="24"/>
          <w:szCs w:val="24"/>
        </w:rPr>
        <w:t xml:space="preserve">9.1 Greeks</w:t>
      </w:r>
    </w:p>
    <w:p>
      <w:pPr>
        <w:spacing w:after="120" w:line="276"/>
      </w:pPr>
      <w:r>
        <w:rPr>
          <w:rFonts w:ascii="Calibri" w:cs="Calibri" w:eastAsia="Calibri" w:hAnsi="Calibri"/>
          <w:color w:val="1A1A1A"/>
          <w:sz w:val="21"/>
          <w:szCs w:val="21"/>
        </w:rPr>
        <w:t xml:space="preserve">Delta, vega, rho, theta, delta decay and delta sentiment, with the full gradient, and optionally the Hessian. The bump size is adjustable and defaults to 0.01.</w:t>
      </w:r>
    </w:p>
    <w:p>
      <w:pPr>
        <w:spacing w:after="120" w:line="276"/>
      </w:pPr>
      <w:r>
        <w:rPr>
          <w:rFonts w:ascii="Calibri" w:cs="Calibri" w:eastAsia="Calibri" w:hAnsi="Calibri"/>
          <w:b/>
          <w:bCs/>
          <w:color w:val="1A1A1A"/>
          <w:sz w:val="21"/>
          <w:szCs w:val="21"/>
        </w:rPr>
        <w:t xml:space="preserve">Available for every exercise style on the plain product (engine v2.4), and for European exercise with a single wrapper.</w:t>
      </w:r>
      <w:r>
        <w:rPr>
          <w:rFonts w:ascii="Calibri" w:cs="Calibri" w:eastAsia="Calibri" w:hAnsi="Calibri"/>
          <w:color w:val="1A1A1A"/>
          <w:sz w:val="21"/>
          <w:szCs w:val="21"/>
        </w:rPr>
        <w:t xml:space="preserve"> The checkbox greys out for nested compositions and for wrapped American/Bermudan contracts, where the engine would return the price without Greeks.</w:t>
      </w:r>
    </w:p>
    <w:p>
      <w:pPr>
        <w:spacing w:after="120" w:line="276"/>
      </w:pPr>
      <w:r>
        <w:rPr>
          <w:rFonts w:ascii="Calibri" w:cs="Calibri" w:eastAsia="Calibri" w:hAnsi="Calibri"/>
          <w:b/>
          <w:bCs/>
          <w:color w:val="1A1A1A"/>
          <w:sz w:val="21"/>
          <w:szCs w:val="21"/>
        </w:rPr>
        <w:t xml:space="preserve">For American and Bermudan exercise, keep the bump at 0.01 or larger.</w:t>
      </w:r>
      <w:r>
        <w:rPr>
          <w:rFonts w:ascii="Calibri" w:cs="Calibri" w:eastAsia="Calibri" w:hAnsi="Calibri"/>
          <w:color w:val="1A1A1A"/>
          <w:sz w:val="21"/>
          <w:szCs w:val="21"/>
        </w:rPr>
        <w:t xml:space="preserve"> Studio says so beneath the checkbox: each bumped valuation refits the Longstaff–Schwartz regression, which responds to a bump discretely, and central differences on much smaller bumps are dominated by exercise-decision noise — on any engine. Greeks re-simulate for every bumped parameter: roughly thirteen passes, twenty-five with the Hessian, and for early exercise each pass is a full LSM run. The banner above Evaluate counts the passes before you commit.</w:t>
      </w:r>
    </w:p>
    <w:p>
      <w:pPr>
        <w:keepNext/>
        <w:spacing w:after="140" w:before="300"/>
      </w:pPr>
      <w:r>
        <w:rPr>
          <w:rFonts w:ascii="Calibri" w:cs="Calibri" w:eastAsia="Calibri" w:hAnsi="Calibri"/>
          <w:b/>
          <w:bCs/>
          <w:color w:val="1A1A1A"/>
          <w:sz w:val="24"/>
          <w:szCs w:val="24"/>
        </w:rPr>
        <w:t xml:space="preserve">9.2 Control variate</w:t>
      </w:r>
    </w:p>
    <w:p>
      <w:pPr>
        <w:spacing w:after="120" w:line="276"/>
      </w:pPr>
      <w:r>
        <w:rPr>
          <w:rFonts w:ascii="Calibri" w:cs="Calibri" w:eastAsia="Calibri" w:hAnsi="Calibri"/>
          <w:color w:val="1A1A1A"/>
          <w:sz w:val="21"/>
          <w:szCs w:val="21"/>
        </w:rPr>
        <w:t xml:space="preserve">European exercise only; the checkbox is disabled otherwise. Choose the control product, optionally a </w:t>
      </w:r>
      <w:r>
        <w:rPr>
          <w:rFonts w:ascii="Calibri" w:cs="Calibri" w:eastAsia="Calibri" w:hAnsi="Calibri"/>
          <w:b/>
          <w:bCs/>
          <w:color w:val="1A1A1A"/>
          <w:sz w:val="21"/>
          <w:szCs w:val="21"/>
        </w:rPr>
        <w:t xml:space="preserve">control strike</w:t>
      </w:r>
      <w:r>
        <w:rPr>
          <w:rFonts w:ascii="Calibri" w:cs="Calibri" w:eastAsia="Calibri" w:hAnsi="Calibri"/>
          <w:color w:val="1A1A1A"/>
          <w:sz w:val="21"/>
          <w:szCs w:val="21"/>
        </w:rPr>
        <w:t xml:space="preserve"> (0 reuses the target's strike — new in this release), the calibration paths, and either a closed-form value or one you supply. The result panel reports the realised correlation, the fitted beta, and the factor by which the error fell — so you can see whether the control earned its place rather than assuming it did. A control identical to the target in product and strike is the same instrument, and Studio inherits the engine's warning when it sees one.</w:t>
      </w:r>
    </w:p>
    <w:p>
      <w:pPr>
        <w:keepNext/>
        <w:spacing w:after="140" w:before="300"/>
      </w:pPr>
      <w:r>
        <w:rPr>
          <w:rFonts w:ascii="Calibri" w:cs="Calibri" w:eastAsia="Calibri" w:hAnsi="Calibri"/>
          <w:b/>
          <w:bCs/>
          <w:color w:val="1A1A1A"/>
          <w:sz w:val="24"/>
          <w:szCs w:val="24"/>
        </w:rPr>
        <w:t xml:space="preserve">9.3 Repetitions</w:t>
      </w:r>
    </w:p>
    <w:p>
      <w:pPr>
        <w:spacing w:after="120" w:line="276"/>
      </w:pPr>
      <w:r>
        <w:rPr>
          <w:rFonts w:ascii="Calibri" w:cs="Calibri" w:eastAsia="Calibri" w:hAnsi="Calibri"/>
          <w:color w:val="1A1A1A"/>
          <w:sz w:val="21"/>
          <w:szCs w:val="21"/>
        </w:rPr>
        <w:t xml:space="preserve">This is the control that decides whether the error figure means anything. When you select a quasi-random sequence, Latin hypercube or stratified sampling, or an antithetic, moment-matching or Brownian-bridge process, Studio shows a notice: these settings need repeated runs for a valid standard error — all six make the paths within one run depend on each other, and the ordinary formula assumes they do not. Applied anyway it overstated the error by four to twenty-six times in measurement.</w:t>
      </w:r>
    </w:p>
    <w:p>
      <w:pPr>
        <w:spacing w:after="120" w:line="276"/>
      </w:pPr>
      <w:r>
        <w:rPr>
          <w:rFonts w:ascii="Calibri" w:cs="Calibri" w:eastAsia="Calibri" w:hAnsi="Calibri"/>
          <w:b/>
          <w:bCs/>
          <w:color w:val="1A1A1A"/>
          <w:sz w:val="21"/>
          <w:szCs w:val="21"/>
        </w:rPr>
        <w:t xml:space="preserve">Leave the control at 0 and the engine repeats the whole simulation ten times, then measures the spread of the ten answers.</w:t>
      </w:r>
      <w:r>
        <w:rPr>
          <w:rFonts w:ascii="Calibri" w:cs="Calibri" w:eastAsia="Calibri" w:hAnsi="Calibri"/>
          <w:color w:val="1A1A1A"/>
          <w:sz w:val="21"/>
          <w:szCs w:val="21"/>
        </w:rPr>
        <w:t xml:space="preserve"> Setting it to 1 with one of those methods selected is refused, with a message explaining why. Any value from 2 to 200 is accepted. </w:t>
      </w:r>
      <w:r>
        <w:rPr>
          <w:rFonts w:ascii="Calibri" w:cs="Calibri" w:eastAsia="Calibri" w:hAnsi="Calibri"/>
          <w:b/>
          <w:bCs/>
          <w:color w:val="1A1A1A"/>
          <w:sz w:val="21"/>
          <w:szCs w:val="21"/>
        </w:rPr>
        <w:t xml:space="preserve">Runtime scales directly with this.</w:t>
      </w:r>
    </w:p>
    <w:p>
      <w:pPr>
        <w:keepNext/>
        <w:spacing w:after="140" w:before="300"/>
      </w:pPr>
      <w:r>
        <w:rPr>
          <w:rFonts w:ascii="Calibri" w:cs="Calibri" w:eastAsia="Calibri" w:hAnsi="Calibri"/>
          <w:b/>
          <w:bCs/>
          <w:color w:val="1A1A1A"/>
          <w:sz w:val="24"/>
          <w:szCs w:val="24"/>
        </w:rPr>
        <w:t xml:space="preserve">10. Before you press Evaluate</w:t>
      </w:r>
    </w:p>
    <w:p>
      <w:pPr>
        <w:spacing w:after="120" w:line="276"/>
      </w:pPr>
      <w:r>
        <w:rPr>
          <w:rFonts w:ascii="Calibri" w:cs="Calibri" w:eastAsia="Calibri" w:hAnsi="Calibri"/>
          <w:color w:val="1A1A1A"/>
          <w:sz w:val="21"/>
          <w:szCs w:val="21"/>
        </w:rPr>
        <w:t xml:space="preserve">The line above the button is the cost estimate: path-steps (which is what memory tracks), repetitions, and the total simulation passes including Greeks. If the product exceeds five million, Studio disables the button rather than letting the service refuse the request after you have waited for it.</w:t>
      </w:r>
    </w:p>
    <w:p>
      <w:pPr>
        <w:spacing w:after="120" w:line="276"/>
      </w:pPr>
      <w:r>
        <w:rPr>
          <w:rFonts w:ascii="Calibri" w:cs="Calibri" w:eastAsia="Calibri" w:hAnsi="Calibri"/>
          <w:color w:val="1A1A1A"/>
          <w:sz w:val="21"/>
          <w:szCs w:val="21"/>
        </w:rPr>
        <w:t xml:space="preserve">Until you press Evaluate, the </w:t>
      </w:r>
      <w:r>
        <w:rPr>
          <w:rFonts w:ascii="Calibri" w:cs="Calibri" w:eastAsia="Calibri" w:hAnsi="Calibri"/>
          <w:b/>
          <w:bCs/>
          <w:color w:val="1A1A1A"/>
          <w:sz w:val="21"/>
          <w:szCs w:val="21"/>
        </w:rPr>
        <w:t xml:space="preserve">Request that will be sent</w:t>
      </w:r>
      <w:r>
        <w:rPr>
          <w:rFonts w:ascii="Calibri" w:cs="Calibri" w:eastAsia="Calibri" w:hAnsi="Calibri"/>
          <w:color w:val="1A1A1A"/>
          <w:sz w:val="21"/>
          <w:szCs w:val="21"/>
        </w:rPr>
        <w:t xml:space="preserve"> panel shows the exact JSON Studio has assembled. It is worth opening when a result surprises you — more often than not the surprise is visible there.</w:t>
      </w:r>
    </w:p>
    <w:p>
      <w:pPr>
        <w:keepNext/>
        <w:spacing w:after="140" w:before="300"/>
      </w:pPr>
      <w:r>
        <w:rPr>
          <w:rFonts w:ascii="Calibri" w:cs="Calibri" w:eastAsia="Calibri" w:hAnsi="Calibri"/>
          <w:b/>
          <w:bCs/>
          <w:color w:val="1A1A1A"/>
          <w:sz w:val="24"/>
          <w:szCs w:val="24"/>
        </w:rPr>
        <w:t xml:space="preserve">11. Reading a result</w:t>
      </w:r>
    </w:p>
    <w:p>
      <w:pPr>
        <w:spacing w:after="120" w:line="276"/>
      </w:pPr>
      <w:r>
        <w:rPr>
          <w:rFonts w:ascii="Calibri" w:cs="Calibri" w:eastAsia="Calibri" w:hAnsi="Calibri"/>
          <w:color w:val="1A1A1A"/>
          <w:sz w:val="21"/>
          <w:szCs w:val="21"/>
        </w:rPr>
        <w:t xml:space="preserve">Three figures across the top: the value, its standard error, and the elapsed time. </w:t>
      </w:r>
      <w:r>
        <w:rPr>
          <w:rFonts w:ascii="Calibri" w:cs="Calibri" w:eastAsia="Calibri" w:hAnsi="Calibri"/>
          <w:b/>
          <w:bCs/>
          <w:color w:val="1A1A1A"/>
          <w:sz w:val="21"/>
          <w:szCs w:val="21"/>
        </w:rPr>
        <w:t xml:space="preserve">The line under them states how the error was obtained</w:t>
      </w:r>
      <w:r>
        <w:rPr>
          <w:rFonts w:ascii="Calibri" w:cs="Calibri" w:eastAsia="Calibri" w:hAnsi="Calibri"/>
          <w:color w:val="1A1A1A"/>
          <w:sz w:val="21"/>
          <w:szCs w:val="21"/>
        </w:rPr>
        <w:t xml:space="preserve"> — the spread of independent repetitions, or the pathwise formula when the paths were independent and it is valid. Quote this line, not just the error: how an error was computed is the first thing a model-validation team will ask.</w:t>
      </w:r>
    </w:p>
    <w:p>
      <w:pPr>
        <w:spacing w:after="120" w:line="276"/>
      </w:pPr>
      <w:r>
        <w:rPr>
          <w:rFonts w:ascii="Calibri" w:cs="Calibri" w:eastAsia="Calibri" w:hAnsi="Calibri"/>
          <w:b/>
          <w:bCs/>
          <w:color w:val="1A1A1A"/>
          <w:sz w:val="21"/>
          <w:szCs w:val="21"/>
        </w:rPr>
        <w:t xml:space="preserve">Warnings</w:t>
      </w:r>
      <w:r>
        <w:rPr>
          <w:rFonts w:ascii="Calibri" w:cs="Calibri" w:eastAsia="Calibri" w:hAnsi="Calibri"/>
          <w:color w:val="1A1A1A"/>
          <w:sz w:val="21"/>
          <w:szCs w:val="21"/>
        </w:rPr>
        <w:t xml:space="preserve"> appear in yellow — a lookback on too few steps, a curve that was padded, a Greek that was skipped and why. They are not errors, and they are not decoration.</w:t>
      </w:r>
    </w:p>
    <w:p>
      <w:pPr>
        <w:spacing w:after="120" w:line="276"/>
      </w:pPr>
      <w:r>
        <w:rPr>
          <w:rFonts w:ascii="Calibri" w:cs="Calibri" w:eastAsia="Calibri" w:hAnsi="Calibri"/>
          <w:b/>
          <w:bCs/>
          <w:color w:val="1A1A1A"/>
          <w:sz w:val="21"/>
          <w:szCs w:val="21"/>
        </w:rPr>
        <w:t xml:space="preserve">Comparison legs</w:t>
      </w:r>
      <w:r>
        <w:rPr>
          <w:rFonts w:ascii="Calibri" w:cs="Calibri" w:eastAsia="Calibri" w:hAnsi="Calibri"/>
          <w:color w:val="1A1A1A"/>
          <w:sz w:val="21"/>
          <w:szCs w:val="21"/>
        </w:rPr>
        <w:t xml:space="preserve"> show the unwrapped underlying beside a wrapped valuation and the European leg beside an American one, from the same paths at no cost. Read them: an American price below its European leg, or a knock-out above its unwrapped underlying, is a configuration error the legs make obvious.</w:t>
      </w:r>
    </w:p>
    <w:p>
      <w:pPr>
        <w:spacing w:after="120" w:line="276"/>
      </w:pPr>
      <w:r>
        <w:rPr>
          <w:rFonts w:ascii="Calibri" w:cs="Calibri" w:eastAsia="Calibri" w:hAnsi="Calibri"/>
          <w:b/>
          <w:bCs/>
          <w:color w:val="1A1A1A"/>
          <w:sz w:val="21"/>
          <w:szCs w:val="21"/>
        </w:rPr>
        <w:t xml:space="preserve">Resolved configuration</w:t>
      </w:r>
      <w:r>
        <w:rPr>
          <w:rFonts w:ascii="Calibri" w:cs="Calibri" w:eastAsia="Calibri" w:hAnsi="Calibri"/>
          <w:color w:val="1A1A1A"/>
          <w:sz w:val="21"/>
          <w:szCs w:val="21"/>
        </w:rPr>
        <w:t xml:space="preserve"> lists every field the engine actually used, including the defaulted ones. </w:t>
      </w:r>
      <w:r>
        <w:rPr>
          <w:rFonts w:ascii="Calibri" w:cs="Calibri" w:eastAsia="Calibri" w:hAnsi="Calibri"/>
          <w:b/>
          <w:bCs/>
          <w:color w:val="1A1A1A"/>
          <w:sz w:val="21"/>
          <w:szCs w:val="21"/>
        </w:rPr>
        <w:t xml:space="preserve">Download</w:t>
      </w:r>
      <w:r>
        <w:rPr>
          <w:rFonts w:ascii="Calibri" w:cs="Calibri" w:eastAsia="Calibri" w:hAnsi="Calibri"/>
          <w:color w:val="1A1A1A"/>
          <w:sz w:val="21"/>
          <w:szCs w:val="21"/>
        </w:rPr>
        <w:t xml:space="preserve"> saves request and response together as one JSON file that reproduces the valuation exactly — the right thing to attach to a question, a review, or a record.</w:t>
      </w:r>
    </w:p>
    <w:p>
      <w:pPr>
        <w:keepNext/>
        <w:spacing w:after="140" w:before="300"/>
      </w:pPr>
      <w:r>
        <w:rPr>
          <w:rFonts w:ascii="Calibri" w:cs="Calibri" w:eastAsia="Calibri" w:hAnsi="Calibri"/>
          <w:b/>
          <w:bCs/>
          <w:color w:val="1A1A1A"/>
          <w:sz w:val="24"/>
          <w:szCs w:val="24"/>
        </w:rPr>
        <w:t xml:space="preserve">12. Limits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Limit</w:t>
            </w:r>
          </w:p>
        </w:tc>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Value</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 × steps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5,000,000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2,000,000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Steps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Repetitions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200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Request timeout</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1800 seconds</w:t>
            </w:r>
          </w:p>
        </w:tc>
      </w:tr>
    </w:tbl>
    <w:p>
      <w:pPr>
        <w:spacing w:after="60"/>
      </w:pPr>
    </w:p>
    <w:p>
      <w:pPr>
        <w:keepNext/>
        <w:spacing w:after="140" w:before="300"/>
      </w:pPr>
      <w:r>
        <w:rPr>
          <w:rFonts w:ascii="Calibri" w:cs="Calibri" w:eastAsia="Calibri" w:hAnsi="Calibri"/>
          <w:b/>
          <w:bCs/>
          <w:color w:val="1A1A1A"/>
          <w:sz w:val="24"/>
          <w:szCs w:val="24"/>
        </w:rPr>
        <w:t xml:space="preserve">13. Three things worth knowing</w:t>
      </w:r>
    </w:p>
    <w:p>
      <w:pPr>
        <w:spacing w:after="120" w:line="276"/>
      </w:pPr>
      <w:r>
        <w:rPr>
          <w:rFonts w:ascii="Calibri" w:cs="Calibri" w:eastAsia="Calibri" w:hAnsi="Calibri"/>
          <w:b/>
          <w:bCs/>
          <w:color w:val="1A1A1A"/>
          <w:sz w:val="21"/>
          <w:szCs w:val="21"/>
        </w:rPr>
        <w:t xml:space="preserve">Prices are not reproducible.</w:t>
      </w:r>
      <w:r>
        <w:rPr>
          <w:rFonts w:ascii="Calibri" w:cs="Calibri" w:eastAsia="Calibri" w:hAnsi="Calibri"/>
          <w:color w:val="1A1A1A"/>
          <w:sz w:val="21"/>
          <w:szCs w:val="21"/>
        </w:rPr>
        <w:t xml:space="preserve"> The engine seeds from the operating system's entropy source, so two identical valuations differ within Monte Carlo error — deliberately, since the C++ engine is an independent implementation and a shared seed would manufacture agreement with the Pandas and JAX engines. If you need a repeatable figure, raise the path count until the standard error is below the precision you require.</w:t>
      </w:r>
    </w:p>
    <w:p>
      <w:pPr>
        <w:spacing w:after="120" w:line="276"/>
      </w:pPr>
      <w:r>
        <w:rPr>
          <w:rFonts w:ascii="Calibri" w:cs="Calibri" w:eastAsia="Calibri" w:hAnsi="Calibri"/>
          <w:b/>
          <w:bCs/>
          <w:color w:val="1A1A1A"/>
          <w:sz w:val="21"/>
          <w:szCs w:val="21"/>
        </w:rPr>
        <w:t xml:space="preserve">Precision is not accuracy.</w:t>
      </w:r>
      <w:r>
        <w:rPr>
          <w:rFonts w:ascii="Calibri" w:cs="Calibri" w:eastAsia="Calibri" w:hAnsi="Calibri"/>
          <w:color w:val="1A1A1A"/>
          <w:sz w:val="21"/>
          <w:szCs w:val="21"/>
        </w:rPr>
        <w:t xml:space="preserve"> The standard error tells you how well the simulation converged, not how close the model is to the contract. On a lookback at twenty-five steps the discretisation bias is far larger than the standard error, and variance reduction shrinks the error without touching the bias — which is why Studio warns about lookbacks on coarse grids.</w:t>
      </w:r>
    </w:p>
    <w:p>
      <w:pPr>
        <w:spacing w:after="120" w:line="276"/>
      </w:pPr>
      <w:r>
        <w:rPr>
          <w:rFonts w:ascii="Calibri" w:cs="Calibri" w:eastAsia="Calibri" w:hAnsi="Calibri"/>
          <w:b/>
          <w:bCs/>
          <w:color w:val="1A1A1A"/>
          <w:sz w:val="21"/>
          <w:szCs w:val="21"/>
        </w:rPr>
        <w:t xml:space="preserve">Stochastic-volatility prices changed in engine v2.2.</w:t>
      </w:r>
      <w:r>
        <w:rPr>
          <w:rFonts w:ascii="Calibri" w:cs="Calibri" w:eastAsia="Calibri" w:hAnsi="Calibri"/>
          <w:color w:val="1A1A1A"/>
          <w:sz w:val="21"/>
          <w:szCs w:val="21"/>
        </w:rPr>
        <w:t xml:space="preserve"> Earlier engines overstated Heston and Bates prices whenever the vol of vol was non-trivial, and ignored the equity/variance correlation. Valuations saved before the correction will not reproduce; the current figures agree with the semi-analytic price and with the Pandas engine, and are the correct ones.</w:t>
      </w:r>
    </w:p>
    <w:p>
      <w:pPr>
        <w:keepNext/>
        <w:spacing w:after="140" w:before="300"/>
      </w:pPr>
      <w:r>
        <w:rPr>
          <w:rFonts w:ascii="Calibri" w:cs="Calibri" w:eastAsia="Calibri" w:hAnsi="Calibri"/>
          <w:b/>
          <w:bCs/>
          <w:color w:val="1A1A1A"/>
          <w:sz w:val="24"/>
          <w:szCs w:val="24"/>
        </w:rPr>
        <w:t xml:space="preserve">14. Support</w:t>
      </w:r>
    </w:p>
    <w:p>
      <w:pPr>
        <w:spacing w:after="120" w:line="276"/>
      </w:pPr>
      <w:r>
        <w:rPr>
          <w:rFonts w:ascii="Calibri" w:cs="Calibri" w:eastAsia="Calibri" w:hAnsi="Calibri"/>
          <w:color w:val="1A1A1A"/>
          <w:sz w:val="21"/>
          <w:szCs w:val="21"/>
        </w:rPr>
        <w:t xml:space="preserve">Contact Asteroid Belt Trading Company Limited with your company name, the Studio version, your Python version and the complete error message. If a valuation produced an unexpected number, attach the downloaded JSON; it contains everything needed to reproduce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2026-07-30T07:55:43.491Z</dcterms:created>
  <dcterms:modified xsi:type="dcterms:W3CDTF">2026-07-30T07:55:43.492Z</dcterms:modified>
</cp:coreProperties>
</file>

<file path=docProps/custom.xml><?xml version="1.0" encoding="utf-8"?>
<Properties xmlns="http://schemas.openxmlformats.org/officeDocument/2006/custom-properties" xmlns:vt="http://schemas.openxmlformats.org/officeDocument/2006/docPropsVTypes"/>
</file>