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2100"/>
        <w:jc w:val="center"/>
      </w:pPr>
      <w:r>
        <w:rPr>
          <w:rFonts w:ascii="Calibri" w:cs="Calibri" w:eastAsia="Calibri" w:hAnsi="Calibri"/>
          <w:b/>
          <w:bCs/>
          <w:sz w:val="52"/>
          <w:szCs w:val="52"/>
        </w:rPr>
        <w:t xml:space="preserve">OptiPricePro JAX Studio</w:t>
      </w:r>
    </w:p>
    <w:p>
      <w:pPr>
        <w:spacing w:after="300"/>
        <w:jc w:val="center"/>
      </w:pPr>
      <w:r>
        <w:rPr>
          <w:rFonts w:ascii="Calibri" w:cs="Calibri" w:eastAsia="Calibri" w:hAnsi="Calibri"/>
          <w:color w:val="444444"/>
          <w:sz w:val="28"/>
          <w:szCs w:val="28"/>
        </w:rPr>
        <w:t xml:space="preserve">User Guide</w:t>
      </w:r>
    </w:p>
    <w:p>
      <w:pPr>
        <w:spacing w:after="60"/>
        <w:jc w:val="center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Studio 1.0.2  ·  JAX pricing service v1  ·  July 2026</w:t>
      </w:r>
    </w:p>
    <w:p>
      <w:pPr>
        <w:spacing w:after="60"/>
        <w:jc w:val="center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Asteroid Belt Trading Company Limited</w:t>
      </w:r>
    </w:p>
    <w:p>
      <w:r>
        <w:br w:type="page"/>
      </w:r>
    </w:p>
    <w:p>
      <w:pPr>
        <w:pStyle w:val="Heading1"/>
        <w:spacing w:after="140" w:before="320"/>
      </w:pPr>
      <w:r>
        <w:rPr>
          <w:b/>
          <w:bCs/>
        </w:rPr>
        <w:t xml:space="preserve">1. Overview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Studio is a graphical workbench for the OptiPricePro JAX pricing service. Everything the service supports can be built here without writing code: European, American, Bermudan and native lookback exercise; vanilla, digital, Asian, floating-strike and rolling-average underlyings; barrier and lookback wrappers in every composition order; stochastic rates, volatility, dividends, sentiment and sentiment volatility; stock jumps; quasi-random and variance-reduction simulation; importance sampling; analytical control variates; and the complete gradient and Hessian.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No pricing is performed on your machine. Studio assembles your choices into a request, sends it to the service over HTTPS, and displays the value, error, Greeks and diagnostics that come back.</w:t>
      </w:r>
    </w:p>
    <w:p>
      <w:pPr>
        <w:pStyle w:val="Heading1"/>
        <w:spacing w:after="140" w:before="320"/>
      </w:pPr>
      <w:r>
        <w:rPr>
          <w:b/>
          <w:bCs/>
        </w:rPr>
        <w:t xml:space="preserve">2. The screen</w:t>
      </w:r>
    </w:p>
    <w:tbl>
      <w:tblPr>
        <w:tblW w:type="dxa" w:w="97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360"/>
      </w:tblGrid>
      <w:tr>
        <w:tc>
          <w:tcPr>
            <w:tcW w:type="dxa" w:w="2400"/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Area</w:t>
            </w:r>
          </w:p>
        </w:tc>
        <w:tc>
          <w:tcPr>
            <w:tcW w:type="dxa" w:w="7360"/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Contents</w:t>
            </w:r>
          </w:p>
        </w:tc>
      </w:tr>
      <w:tr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Sidebar (left)</w:t>
            </w:r>
          </w:p>
        </w:tc>
        <w:tc>
          <w:tcPr>
            <w:tcW w:type="dxa" w:w="7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Every input: licence, run settings, product, wrappers, exercise controls, market state, simulation, models, variance reduction.</w:t>
            </w:r>
          </w:p>
        </w:tc>
      </w:tr>
      <w:tr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Header</w:t>
            </w:r>
          </w:p>
        </w:tc>
        <w:tc>
          <w:tcPr>
            <w:tcW w:type="dxa" w:w="7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The structure title — product, payoff and the composed payoff structure.</w:t>
            </w:r>
          </w:p>
        </w:tc>
      </w:tr>
      <w:tr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Selected structure</w:t>
            </w:r>
          </w:p>
        </w:tc>
        <w:tc>
          <w:tcPr>
            <w:tcW w:type="dxa" w:w="7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A one-line summary of exactly what will be priced, plus any blocking validation errors.</w:t>
            </w:r>
          </w:p>
        </w:tc>
      </w:tr>
      <w:tr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Request sent to price()</w:t>
            </w:r>
          </w:p>
        </w:tc>
        <w:tc>
          <w:tcPr>
            <w:tcW w:type="dxa" w:w="7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The exact request, useful for support and for reproducing a run in code.</w:t>
            </w:r>
          </w:p>
        </w:tc>
      </w:tr>
      <w:tr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Results</w:t>
            </w:r>
          </w:p>
        </w:tc>
        <w:tc>
          <w:tcPr>
            <w:tcW w:type="dxa" w:w="7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Value, error, replication prices, control-variate diagnostics, Greeks, gradient, Hessian, retained variables.</w:t>
            </w:r>
          </w:p>
        </w:tc>
      </w:tr>
    </w:tbl>
    <w:p>
      <w:pPr>
        <w:pStyle w:val="Heading1"/>
        <w:spacing w:after="140" w:before="320"/>
      </w:pPr>
      <w:r>
        <w:rPr>
          <w:b/>
          <w:bCs/>
        </w:rPr>
        <w:t xml:space="preserve">3. Licence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Enter your Studio key in the sidebar, or set </w:t>
      </w:r>
      <w:r>
        <w:rPr>
          <w:rFonts w:ascii="Consolas" w:cs="Consolas" w:eastAsia="Consolas" w:hAnsi="Consolas"/>
          <w:sz w:val="22"/>
          <w:szCs w:val="22"/>
        </w:rPr>
        <w:t xml:space="preserve">OPTIPRICEPRO_JAX_API_KEY</w:t>
      </w:r>
      <w:r>
        <w:rPr>
          <w:rFonts w:ascii="Calibri" w:cs="Calibri" w:eastAsia="Calibri" w:hAnsi="Calibri"/>
          <w:sz w:val="22"/>
          <w:szCs w:val="22"/>
        </w:rPr>
        <w:t xml:space="preserve"> before launching. The service endpoint is shown beneath the field. Each successful valuation counts once against your quota.</w:t>
      </w:r>
    </w:p>
    <w:p>
      <w:pPr>
        <w:pStyle w:val="Heading1"/>
        <w:spacing w:after="140" w:before="320"/>
      </w:pPr>
      <w:r>
        <w:rPr>
          <w:b/>
          <w:bCs/>
        </w:rPr>
        <w:t xml:space="preserve">4. Run settings</w:t>
      </w:r>
    </w:p>
    <w:tbl>
      <w:tblPr>
        <w:tblW w:type="dxa" w:w="97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960"/>
      </w:tblGrid>
      <w:tr>
        <w:tc>
          <w:tcPr>
            <w:tcW w:type="dxa" w:w="2800"/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Setting</w:t>
            </w:r>
          </w:p>
        </w:tc>
        <w:tc>
          <w:tcPr>
            <w:tcW w:type="dxa" w:w="6960"/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Meaning</w:t>
            </w:r>
          </w:p>
        </w:tc>
      </w:tr>
      <w:tr>
        <w:tc>
          <w:tcPr>
            <w:tcW w:type="dxa" w:w="2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Number of intervals M</w:t>
            </w:r>
          </w:p>
        </w:tc>
        <w:tc>
          <w:tcPr>
            <w:tcW w:type="dxa" w:w="69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Time steps per path: monitoring frequency and the number of available exercise dates.</w:t>
            </w:r>
          </w:p>
        </w:tc>
      </w:tr>
      <w:tr>
        <w:tc>
          <w:tcPr>
            <w:tcW w:type="dxa" w:w="2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Number of paths N</w:t>
            </w:r>
          </w:p>
        </w:tc>
        <w:tc>
          <w:tcPr>
            <w:tcW w:type="dxa" w:w="69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Monte Carlo paths. Accuracy improves with the square root of N.</w:t>
            </w:r>
          </w:p>
        </w:tc>
      </w:tr>
      <w:tr>
        <w:tc>
          <w:tcPr>
            <w:tcW w:type="dxa" w:w="2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Random seed</w:t>
            </w:r>
          </w:p>
        </w:tc>
        <w:tc>
          <w:tcPr>
            <w:tcW w:type="dxa" w:w="69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Fixes the simulation. The same seed reproduces a result exactly.</w:t>
            </w:r>
          </w:p>
        </w:tc>
      </w:tr>
      <w:tr>
        <w:tc>
          <w:tcPr>
            <w:tcW w:type="dxa" w:w="2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Hard payoff</w:t>
            </w:r>
          </w:p>
        </w:tc>
        <w:tc>
          <w:tcPr>
            <w:tcW w:type="dxa" w:w="69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On by default: the exact payoff formulation that reproduces the validated benchmarks.</w:t>
            </w:r>
          </w:p>
        </w:tc>
      </w:tr>
      <w:tr>
        <w:tc>
          <w:tcPr>
            <w:tcW w:type="dxa" w:w="2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Smoothing beta</w:t>
            </w:r>
          </w:p>
        </w:tc>
        <w:tc>
          <w:tcPr>
            <w:tcW w:type="dxa" w:w="69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Appears only when Hard payoff is unticked; controls the smoothed payoff approximation.</w:t>
            </w:r>
          </w:p>
        </w:tc>
      </w:tr>
      <w:tr>
        <w:tc>
          <w:tcPr>
            <w:tcW w:type="dxa" w:w="2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Compute gradient (Greeks)</w:t>
            </w:r>
          </w:p>
        </w:tc>
        <w:tc>
          <w:tcPr>
            <w:tcW w:type="dxa" w:w="69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Returns first-order sensitivities with the price.</w:t>
            </w:r>
          </w:p>
        </w:tc>
      </w:tr>
      <w:tr>
        <w:tc>
          <w:tcPr>
            <w:tcW w:type="dxa" w:w="2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Compute Hessian</w:t>
            </w:r>
          </w:p>
        </w:tc>
        <w:tc>
          <w:tcPr>
            <w:tcW w:type="dxa" w:w="69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Adds second-order and cross sensitivities. Considerably slower.</w:t>
            </w:r>
          </w:p>
        </w:tc>
      </w:tr>
      <w:tr>
        <w:tc>
          <w:tcPr>
            <w:tcW w:type="dxa" w:w="2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Return retained variables</w:t>
            </w:r>
          </w:p>
        </w:tc>
        <w:tc>
          <w:tcPr>
            <w:tcW w:type="dxa" w:w="69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Reports the shapes of the internal path and payoff arrays.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Leave Hard payoff on unless you specifically want the smoothed formulation.</w:t>
      </w:r>
      <w:r>
        <w:rPr>
          <w:rFonts w:ascii="Calibri" w:cs="Calibri" w:eastAsia="Calibri" w:hAnsi="Calibri"/>
          <w:sz w:val="22"/>
          <w:szCs w:val="22"/>
        </w:rPr>
        <w:t xml:space="preserve"> Smoothing changes the value slightly and will not match the published benchmark figures.</w:t>
      </w:r>
    </w:p>
    <w:p>
      <w:pPr>
        <w:pStyle w:val="Heading1"/>
        <w:spacing w:after="140" w:before="320"/>
      </w:pPr>
      <w:r>
        <w:rPr>
          <w:b/>
          <w:bCs/>
        </w:rPr>
        <w:t xml:space="preserve">5. Defining the product</w:t>
      </w:r>
    </w:p>
    <w:p>
      <w:pPr>
        <w:pStyle w:val="Heading2"/>
        <w:spacing w:after="100" w:before="240"/>
      </w:pPr>
      <w:r>
        <w:rPr>
          <w:b/>
          <w:bCs/>
        </w:rPr>
        <w:t xml:space="preserve">5.1 Product and payoff</w:t>
      </w:r>
    </w:p>
    <w:tbl>
      <w:tblPr>
        <w:tblW w:type="dxa" w:w="97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00"/>
        <w:gridCol w:w="5960"/>
      </w:tblGrid>
      <w:tr>
        <w:tc>
          <w:tcPr>
            <w:tcW w:type="dxa" w:w="3800"/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Product</w:t>
            </w:r>
          </w:p>
        </w:tc>
        <w:tc>
          <w:tcPr>
            <w:tcW w:type="dxa" w:w="5960"/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Meaning</w:t>
            </w:r>
          </w:p>
        </w:tc>
      </w:tr>
      <w:tr>
        <w:tc>
          <w:tcPr>
            <w:tcW w:type="dxa" w:w="3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European</w:t>
            </w:r>
          </w:p>
        </w:tc>
        <w:tc>
          <w:tcPr>
            <w:tcW w:type="dxa" w:w="59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Exercise at maturity only.</w:t>
            </w:r>
          </w:p>
        </w:tc>
      </w:tr>
      <w:tr>
        <w:tc>
          <w:tcPr>
            <w:tcW w:type="dxa" w:w="3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AmericanOption</w:t>
            </w:r>
          </w:p>
        </w:tc>
        <w:tc>
          <w:tcPr>
            <w:tcW w:type="dxa" w:w="59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Early exercise at every step, by least-squares Monte Carlo.</w:t>
            </w:r>
          </w:p>
        </w:tc>
      </w:tr>
      <w:tr>
        <w:tc>
          <w:tcPr>
            <w:tcW w:type="dxa" w:w="3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BermudaOption</w:t>
            </w:r>
          </w:p>
        </w:tc>
        <w:tc>
          <w:tcPr>
            <w:tcW w:type="dxa" w:w="59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Early exercise on a limited number of dates.</w:t>
            </w:r>
          </w:p>
        </w:tc>
      </w:tr>
      <w:tr>
        <w:tc>
          <w:tcPr>
            <w:tcW w:type="dxa" w:w="3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LookBackAmericanOptionFixedStrike / FloatingStrike</w:t>
            </w:r>
          </w:p>
        </w:tc>
        <w:tc>
          <w:tcPr>
            <w:tcW w:type="dxa" w:w="59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Native American lookback: the running extreme enters the exercise decision.</w:t>
            </w:r>
          </w:p>
        </w:tc>
      </w:tr>
      <w:tr>
        <w:tc>
          <w:tcPr>
            <w:tcW w:type="dxa" w:w="3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LookbackBermudaOptionFixedStrike / FloatingStrike</w:t>
            </w:r>
          </w:p>
        </w:tc>
        <w:tc>
          <w:tcPr>
            <w:tcW w:type="dxa" w:w="59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Native Bermudan lookback.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Payoffs: </w:t>
      </w:r>
      <w:r>
        <w:rPr>
          <w:rFonts w:ascii="Consolas" w:cs="Consolas" w:eastAsia="Consolas" w:hAnsi="Consolas"/>
          <w:sz w:val="22"/>
          <w:szCs w:val="22"/>
        </w:rPr>
        <w:t xml:space="preserve">Call, Put, DigitalCall, DigitalPut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b/>
          <w:bCs/>
        </w:rPr>
        <w:t xml:space="preserve">5.2 Underlying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Path independent (terminal price), arithmetic or geometric Asian, their floating-strike variants, and a rolling-average arithmetic Asian. Choosing the rolling-average underlying reveals InitialAverage and AveragePeriod, which default to S0 and T / 2.</w:t>
      </w:r>
    </w:p>
    <w:p>
      <w:pPr>
        <w:pStyle w:val="Heading2"/>
        <w:spacing w:after="100" w:before="240"/>
      </w:pPr>
      <w:r>
        <w:rPr>
          <w:b/>
          <w:bCs/>
        </w:rPr>
        <w:t xml:space="preserve">5.3 Wrapper order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The wrapper order composes barriers and lookbacks around the underlying, outermost first:</w:t>
      </w:r>
    </w:p>
    <w:tbl>
      <w:tblPr>
        <w:tblW w:type="dxa" w:w="97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0"/>
        <w:gridCol w:w="5760"/>
      </w:tblGrid>
      <w:tr>
        <w:tc>
          <w:tcPr>
            <w:tcW w:type="dxa" w:w="4000"/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Wrapper order</w:t>
            </w:r>
          </w:p>
        </w:tc>
        <w:tc>
          <w:tcPr>
            <w:tcW w:type="dxa" w:w="5760"/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Structure</w:t>
            </w:r>
          </w:p>
        </w:tc>
      </w:tr>
      <w:tr>
        <w:tc>
          <w:tcPr>
            <w:tcW w:type="dxa" w:w="4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Underlying only</w:t>
            </w:r>
          </w:p>
        </w:tc>
        <w:tc>
          <w:tcPr>
            <w:tcW w:type="dxa" w:w="57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No wrapper.</w:t>
            </w:r>
          </w:p>
        </w:tc>
      </w:tr>
      <w:tr>
        <w:tc>
          <w:tcPr>
            <w:tcW w:type="dxa" w:w="4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Barrier on underlying</w:t>
            </w:r>
          </w:p>
        </w:tc>
        <w:tc>
          <w:tcPr>
            <w:tcW w:type="dxa" w:w="57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barrier( underlying )</w:t>
            </w:r>
          </w:p>
        </w:tc>
      </w:tr>
      <w:tr>
        <w:tc>
          <w:tcPr>
            <w:tcW w:type="dxa" w:w="4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Lookback on underlying</w:t>
            </w:r>
          </w:p>
        </w:tc>
        <w:tc>
          <w:tcPr>
            <w:tcW w:type="dxa" w:w="57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lookback( underlying )</w:t>
            </w:r>
          </w:p>
        </w:tc>
      </w:tr>
      <w:tr>
        <w:tc>
          <w:tcPr>
            <w:tcW w:type="dxa" w:w="4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Lookback on Barrier on underlying</w:t>
            </w:r>
          </w:p>
        </w:tc>
        <w:tc>
          <w:tcPr>
            <w:tcW w:type="dxa" w:w="57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lookback( barrier( underlying ) )</w:t>
            </w:r>
          </w:p>
        </w:tc>
      </w:tr>
      <w:tr>
        <w:tc>
          <w:tcPr>
            <w:tcW w:type="dxa" w:w="4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Barrier on Lookback on underlying</w:t>
            </w:r>
          </w:p>
        </w:tc>
        <w:tc>
          <w:tcPr>
            <w:tcW w:type="dxa" w:w="57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barrier( lookback( underlying ) )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Seventeen barrier classes are available, including NoBarrier and continuously monitored variants. Barrier levels use UpBarrier and DownBarrier; RebateIfIn and RebateIfOut set the rebates. The two nested orders are different products and price differently.</w:t>
      </w:r>
    </w:p>
    <w:p>
      <w:pPr>
        <w:pStyle w:val="Heading2"/>
        <w:spacing w:after="100" w:before="240"/>
      </w:pPr>
      <w:r>
        <w:rPr>
          <w:b/>
          <w:bCs/>
        </w:rPr>
        <w:t xml:space="preserve">5.4 Exercise controls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LSM regression degree sets the polynomial order of the least-squares regression. Bermudan exercise points appears only for Bermudan products; American products exercise at every step.</w:t>
      </w:r>
    </w:p>
    <w:p>
      <w:pPr>
        <w:pStyle w:val="Heading1"/>
        <w:spacing w:after="140" w:before="320"/>
      </w:pPr>
      <w:r>
        <w:rPr>
          <w:b/>
          <w:bCs/>
        </w:rPr>
        <w:t xml:space="preserve">6. Market state and models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The market block sets S0, Strike, Sentiment0, r, sigma, dividend yield y and T. Each model family has its own parameter group:</w:t>
      </w:r>
    </w:p>
    <w:tbl>
      <w:tblPr>
        <w:tblW w:type="dxa" w:w="97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3700"/>
        <w:gridCol w:w="4160"/>
      </w:tblGrid>
      <w:tr>
        <w:tc>
          <w:tcPr>
            <w:tcW w:type="dxa" w:w="1900"/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Family</w:t>
            </w:r>
          </w:p>
        </w:tc>
        <w:tc>
          <w:tcPr>
            <w:tcW w:type="dxa" w:w="3700"/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Choices</w:t>
            </w:r>
          </w:p>
        </w:tc>
        <w:tc>
          <w:tcPr>
            <w:tcW w:type="dxa" w:w="4160"/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Parameters</w:t>
            </w:r>
          </w:p>
        </w:tc>
      </w:tr>
      <w:tr>
        <w:tc>
          <w:tcPr>
            <w:tcW w:type="dxa" w:w="1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Rate</w:t>
            </w:r>
          </w:p>
        </w:tc>
        <w:tc>
          <w:tcPr>
            <w:tcW w:type="dxa" w:w="3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ConstantRate, HoLee, Vasicek, CoxIngersollRoss, ExtendedCoxIngersollRoss</w:t>
            </w:r>
          </w:p>
        </w:tc>
        <w:tc>
          <w:tcPr>
            <w:tcW w:type="dxa" w:w="41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sigma_R, a, b plus term-structure curves</w:t>
            </w:r>
          </w:p>
        </w:tc>
      </w:tr>
      <w:tr>
        <w:tc>
          <w:tcPr>
            <w:tcW w:type="dxa" w:w="1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Volatility</w:t>
            </w:r>
          </w:p>
        </w:tc>
        <w:tc>
          <w:tcPr>
            <w:tcW w:type="dxa" w:w="3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constantVolatility, HestonVolatility, BatesVolatility</w:t>
            </w:r>
          </w:p>
        </w:tc>
        <w:tc>
          <w:tcPr>
            <w:tcW w:type="dxa" w:w="41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gamma, kappa, theta, muJ_Bates, sigmaJ_Bates, Lambda_Bates</w:t>
            </w:r>
          </w:p>
        </w:tc>
      </w:tr>
      <w:tr>
        <w:tc>
          <w:tcPr>
            <w:tcW w:type="dxa" w:w="1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Dividend</w:t>
            </w:r>
          </w:p>
        </w:tc>
        <w:tc>
          <w:tcPr>
            <w:tcW w:type="dxa" w:w="3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Constantdividend, Stochasticdividend</w:t>
            </w:r>
          </w:p>
        </w:tc>
        <w:tc>
          <w:tcPr>
            <w:tcW w:type="dxa" w:w="41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alphadiv, betadiv, divVol, bdiv</w:t>
            </w:r>
          </w:p>
        </w:tc>
      </w:tr>
      <w:tr>
        <w:tc>
          <w:tcPr>
            <w:tcW w:type="dxa" w:w="1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Sentiment</w:t>
            </w:r>
          </w:p>
        </w:tc>
        <w:tc>
          <w:tcPr>
            <w:tcW w:type="dxa" w:w="3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ConstantSentiment, StochasticSentiment, StochasticSentimentJump</w:t>
            </w:r>
          </w:p>
        </w:tc>
        <w:tc>
          <w:tcPr>
            <w:tcW w:type="dxa" w:w="41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mu_sent, sigma_sent, muJ_sent, sigmaJ_sent, Lambda_sent</w:t>
            </w:r>
          </w:p>
        </w:tc>
      </w:tr>
      <w:tr>
        <w:tc>
          <w:tcPr>
            <w:tcW w:type="dxa" w:w="1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Sentiment volatility</w:t>
            </w:r>
          </w:p>
        </w:tc>
        <w:tc>
          <w:tcPr>
            <w:tcW w:type="dxa" w:w="3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constantsentimentvol, stochasticsentimentvol, stochasticsentimentvolJumps</w:t>
            </w:r>
          </w:p>
        </w:tc>
        <w:tc>
          <w:tcPr>
            <w:tcW w:type="dxa" w:w="41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gamma_sent, kappa_sent, theta_sent, muJ_sentvol, sigmaJ_sentvol, Lambda_sentvol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</w:rPr>
        <w:t xml:space="preserve">6.1 Term-structure curves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HoLee requires theta_t and sigma_t; ExtendedCoxIngersollRoss requires b_t and sigma_t. Studio shows the upload panels only for the model you selected. Curves are single-column CSV files with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at least M + 1 values</w:t>
      </w:r>
      <w:r>
        <w:rPr>
          <w:rFonts w:ascii="Calibri" w:cs="Calibri" w:eastAsia="Calibri" w:hAnsi="Calibri"/>
          <w:sz w:val="22"/>
          <w:szCs w:val="22"/>
        </w:rPr>
        <w:t xml:space="preserve">; leaving one empty uses a zero curve.</w:t>
      </w:r>
    </w:p>
    <w:p>
      <w:pPr>
        <w:pStyle w:val="Heading2"/>
        <w:spacing w:after="100" w:before="240"/>
      </w:pPr>
      <w:r>
        <w:rPr>
          <w:b/>
          <w:bCs/>
        </w:rPr>
        <w:t xml:space="preserve">6.2 Correlations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Each non-constant model adds a stochastic factor, ordered: stock, volatility, sentiment, rate, dividend, sentiment volatility. Studio counts the active factors and asks for a matrix of exactly that size, uploaded as CSV without headers. It must be symmetric with a unit diagonal and positive semidefinite; the identity is used when none is supplied.</w:t>
      </w:r>
    </w:p>
    <w:p>
      <w:pPr>
        <w:pStyle w:val="Heading2"/>
        <w:spacing w:after="100" w:before="240"/>
      </w:pPr>
      <w:r>
        <w:rPr>
          <w:b/>
          <w:bCs/>
        </w:rPr>
        <w:t xml:space="preserve">6.3 Stock jumps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Set Lambda (intensity), muJ (mean jump size) and sigmaJ (jump volatility). Selecting the jump path generator, or any positive Lambda, activates jump diffusion.</w:t>
      </w:r>
    </w:p>
    <w:p>
      <w:pPr>
        <w:pStyle w:val="Heading1"/>
        <w:spacing w:after="140" w:before="320"/>
      </w:pPr>
      <w:r>
        <w:rPr>
          <w:b/>
          <w:bCs/>
        </w:rPr>
        <w:t xml:space="preserve">7. Simulation families</w:t>
      </w:r>
    </w:p>
    <w:tbl>
      <w:tblPr>
        <w:tblW w:type="dxa" w:w="97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960"/>
      </w:tblGrid>
      <w:tr>
        <w:tc>
          <w:tcPr>
            <w:tcW w:type="dxa" w:w="2800"/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Setting</w:t>
            </w:r>
          </w:p>
        </w:tc>
        <w:tc>
          <w:tcPr>
            <w:tcW w:type="dxa" w:w="6960"/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Choices</w:t>
            </w:r>
          </w:p>
        </w:tc>
      </w:tr>
      <w:tr>
        <w:tc>
          <w:tcPr>
            <w:tcW w:type="dxa" w:w="2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Random number generator</w:t>
            </w:r>
          </w:p>
        </w:tc>
        <w:tc>
          <w:tcPr>
            <w:tcW w:type="dxa" w:w="69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StandardNormalsGenerator, QuasiStandardNormalsGenerator</w:t>
            </w:r>
          </w:p>
        </w:tc>
      </w:tr>
      <w:tr>
        <w:tc>
          <w:tcPr>
            <w:tcW w:type="dxa" w:w="2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Sampling</w:t>
            </w:r>
          </w:p>
        </w:tc>
        <w:tc>
          <w:tcPr>
            <w:tcW w:type="dxa" w:w="69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NoSampling, LatinHypercubeSampling, StratificationSampling</w:t>
            </w:r>
          </w:p>
        </w:tc>
      </w:tr>
      <w:tr>
        <w:tc>
          <w:tcPr>
            <w:tcW w:type="dxa" w:w="2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Wiener process</w:t>
            </w:r>
          </w:p>
        </w:tc>
        <w:tc>
          <w:tcPr>
            <w:tcW w:type="dxa" w:w="69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Vanilla, Antithetic, MomentMatching, BrownianBridge</w:t>
            </w:r>
          </w:p>
        </w:tc>
      </w:tr>
      <w:tr>
        <w:tc>
          <w:tcPr>
            <w:tcW w:type="dxa" w:w="2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Stock path generator</w:t>
            </w:r>
          </w:p>
        </w:tc>
        <w:tc>
          <w:tcPr>
            <w:tcW w:type="dxa" w:w="69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VanillaStockPathGenerator, VanillaStockPathGeneratorJump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Quasi-random and variance-reduced configurations cannot report a pathwise error, so the service estimates it from independent repricings. Studio detects this, tells you so, and lets you set the number of replications. Antithetic generation requires an even N.</w:t>
      </w:r>
    </w:p>
    <w:p>
      <w:pPr>
        <w:pStyle w:val="Heading1"/>
        <w:spacing w:after="140" w:before="320"/>
      </w:pPr>
      <w:r>
        <w:rPr>
          <w:b/>
          <w:bCs/>
        </w:rPr>
        <w:t xml:space="preserve">8. Variance reduction</w:t>
      </w:r>
    </w:p>
    <w:p>
      <w:pPr>
        <w:pStyle w:val="Heading2"/>
        <w:spacing w:after="100" w:before="240"/>
      </w:pPr>
      <w:r>
        <w:rPr>
          <w:b/>
          <w:bCs/>
        </w:rPr>
        <w:t xml:space="preserve">8.1 Importance sampling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Importance sampling concentrates simulation effort where the payoff is non-zero. It is implemented for specific European structures only, and Studio offers only the methods valid for your current selection:</w:t>
      </w:r>
    </w:p>
    <w:tbl>
      <w:tblPr>
        <w:tblW w:type="dxa" w:w="97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5560"/>
      </w:tblGrid>
      <w:tr>
        <w:tc>
          <w:tcPr>
            <w:tcW w:type="dxa" w:w="4200"/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Structure</w:t>
            </w:r>
          </w:p>
        </w:tc>
        <w:tc>
          <w:tcPr>
            <w:tcW w:type="dxa" w:w="5560"/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Methods offered</w:t>
            </w:r>
          </w:p>
        </w:tc>
      </w:tr>
      <w:tr>
        <w:tc>
          <w:tcPr>
            <w:tcW w:type="dxa" w:w="4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European, PathIndependentOption, Underlying only</w:t>
            </w:r>
          </w:p>
        </w:tc>
        <w:tc>
          <w:tcPr>
            <w:tcW w:type="dxa" w:w="55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ISChangeOfMean_Independent, ISChangeOfMean2_Independent</w:t>
            </w:r>
          </w:p>
        </w:tc>
      </w:tr>
      <w:tr>
        <w:tc>
          <w:tcPr>
            <w:tcW w:type="dxa" w:w="4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European, PathArithmeticAsianOption, Underlying only</w:t>
            </w:r>
          </w:p>
        </w:tc>
        <w:tc>
          <w:tcPr>
            <w:tcW w:type="dxa" w:w="55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ISChangeOfMean_Asian, ISChangeOfMean2_Asian, ISArithmeticAsian</w:t>
            </w:r>
          </w:p>
        </w:tc>
      </w:tr>
      <w:tr>
        <w:tc>
          <w:tcPr>
            <w:tcW w:type="dxa" w:w="4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European, PathIndependentOption, Barrier on underlying</w:t>
            </w:r>
          </w:p>
        </w:tc>
        <w:tc>
          <w:tcPr>
            <w:tcW w:type="dxa" w:w="55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The IS method matching the selected barrier class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If no method fits the structure, Studio says so and prices nothing — a different product is never substituted silently. The mean tweak c appears only for ISChangeOfMean_Independent and ISChangeOfMean_Asian; the other schemes determine their own tilt.</w:t>
      </w:r>
    </w:p>
    <w:p>
      <w:pPr>
        <w:pStyle w:val="Heading2"/>
        <w:spacing w:after="100" w:before="240"/>
      </w:pPr>
      <w:r>
        <w:rPr>
          <w:b/>
          <w:bCs/>
        </w:rPr>
        <w:t xml:space="preserve">8.2 Analytical control variate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A control variate prices a second, analytically known contract on the same paths and uses the known value to correct the estimate. It is available for European products only. Choose one of the twenty analytical controls — Black-Scholes, geometric Asian, Merton, Heston, the barrier families, double knock-out or floating-strike lookback — and set the number of calibration paths, which must leave at least two pricing paths.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The results panel then reports the analytical value, the correlation rho, the coefficient beta, the plain Monte Carlo error and the theoretical control-variate error. A successful setup shows a finite beta, a correlation inside [-1, 1] and a controlled error below the plain error.</w:t>
      </w:r>
    </w:p>
    <w:p>
      <w:pPr>
        <w:pStyle w:val="Heading1"/>
        <w:spacing w:after="140" w:before="320"/>
      </w:pPr>
      <w:r>
        <w:rPr>
          <w:b/>
          <w:bCs/>
        </w:rPr>
        <w:t xml:space="preserve">9. Reading the results</w:t>
      </w:r>
    </w:p>
    <w:tbl>
      <w:tblPr>
        <w:tblW w:type="dxa" w:w="97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960"/>
      </w:tblGrid>
      <w:tr>
        <w:tc>
          <w:tcPr>
            <w:tcW w:type="dxa" w:w="2800"/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Field</w:t>
            </w:r>
          </w:p>
        </w:tc>
        <w:tc>
          <w:tcPr>
            <w:tcW w:type="dxa" w:w="6960"/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Interpretation</w:t>
            </w:r>
          </w:p>
        </w:tc>
      </w:tr>
      <w:tr>
        <w:tc>
          <w:tcPr>
            <w:tcW w:type="dxa" w:w="2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Option value</w:t>
            </w:r>
          </w:p>
        </w:tc>
        <w:tc>
          <w:tcPr>
            <w:tcW w:type="dxa" w:w="69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The Monte Carlo price.</w:t>
            </w:r>
          </w:p>
        </w:tc>
      </w:tr>
      <w:tr>
        <w:tc>
          <w:tcPr>
            <w:tcW w:type="dxa" w:w="2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Monte Carlo error</w:t>
            </w:r>
          </w:p>
        </w:tc>
        <w:tc>
          <w:tcPr>
            <w:tcW w:type="dxa" w:w="69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One standard deviation of the estimate.</w:t>
            </w:r>
          </w:p>
        </w:tc>
      </w:tr>
      <w:tr>
        <w:tc>
          <w:tcPr>
            <w:tcW w:type="dxa" w:w="2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Runtime</w:t>
            </w:r>
          </w:p>
        </w:tc>
        <w:tc>
          <w:tcPr>
            <w:tcW w:type="dxa" w:w="69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Time the service spent on the valuation.</w:t>
            </w:r>
          </w:p>
        </w:tc>
      </w:tr>
      <w:tr>
        <w:tc>
          <w:tcPr>
            <w:tcW w:type="dxa" w:w="2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Error kind</w:t>
            </w:r>
          </w:p>
        </w:tc>
        <w:tc>
          <w:tcPr>
            <w:tcW w:type="dxa" w:w="69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Whether the error is a pathwise estimate or a standard deviation across repricings.</w:t>
            </w:r>
          </w:p>
        </w:tc>
      </w:tr>
      <w:tr>
        <w:tc>
          <w:tcPr>
            <w:tcW w:type="dxa" w:w="2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Replication prices</w:t>
            </w:r>
          </w:p>
        </w:tc>
        <w:tc>
          <w:tcPr>
            <w:tcW w:type="dxa" w:w="69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The individual repricings, when replications were used.</w:t>
            </w:r>
          </w:p>
        </w:tc>
      </w:tr>
      <w:tr>
        <w:tc>
          <w:tcPr>
            <w:tcW w:type="dxa" w:w="2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Analytical control-variate results</w:t>
            </w:r>
          </w:p>
        </w:tc>
        <w:tc>
          <w:tcPr>
            <w:tcW w:type="dxa" w:w="69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Control diagnostics, when a control variate was used.</w:t>
            </w:r>
          </w:p>
        </w:tc>
      </w:tr>
      <w:tr>
        <w:tc>
          <w:tcPr>
            <w:tcW w:type="dxa" w:w="2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Headline Greeks</w:t>
            </w:r>
          </w:p>
        </w:tc>
        <w:tc>
          <w:tcPr>
            <w:tcW w:type="dxa" w:w="69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Named first-order sensitivities.</w:t>
            </w:r>
          </w:p>
        </w:tc>
      </w:tr>
      <w:tr>
        <w:tc>
          <w:tcPr>
            <w:tcW w:type="dxa" w:w="2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Full gradient</w:t>
            </w:r>
          </w:p>
        </w:tc>
        <w:tc>
          <w:tcPr>
            <w:tcW w:type="dxa" w:w="69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Every element of the parameter gradient, by name.</w:t>
            </w:r>
          </w:p>
        </w:tc>
      </w:tr>
      <w:tr>
        <w:tc>
          <w:tcPr>
            <w:tcW w:type="dxa" w:w="2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Hessian</w:t>
            </w:r>
          </w:p>
        </w:tc>
        <w:tc>
          <w:tcPr>
            <w:tcW w:type="dxa" w:w="69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Matrix view plus a row/column/value listing.</w:t>
            </w:r>
          </w:p>
        </w:tc>
      </w:tr>
      <w:tr>
        <w:tc>
          <w:tcPr>
            <w:tcW w:type="dxa" w:w="2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Retained variables</w:t>
            </w:r>
          </w:p>
        </w:tc>
        <w:tc>
          <w:tcPr>
            <w:tcW w:type="dxa" w:w="69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Shapes of the internal path and payoff arrays.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Theta is reported with the −dV/dT convention. Second-order names follow the usual conventions: gamma, vanna, volga, charm, veta and ddelta_dstrike.</w:t>
      </w:r>
    </w:p>
    <w:p>
      <w:pPr>
        <w:pStyle w:val="Heading1"/>
        <w:spacing w:after="140" w:before="320"/>
      </w:pPr>
      <w:r>
        <w:rPr>
          <w:b/>
          <w:bCs/>
        </w:rPr>
        <w:t xml:space="preserve">10. Worked recipes</w:t>
      </w:r>
    </w:p>
    <w:p>
      <w:pPr>
        <w:pStyle w:val="Heading2"/>
        <w:spacing w:after="100" w:before="240"/>
      </w:pPr>
      <w:r>
        <w:rPr>
          <w:b/>
          <w:bCs/>
        </w:rPr>
        <w:t xml:space="preserve">10.1 European call — installation check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Defaults throughout. Evaluate Option returns a price near 10.4 with a small error, plus the headline Greeks. Note the value and reuse it as your reference.</w:t>
      </w:r>
    </w:p>
    <w:p>
      <w:pPr>
        <w:pStyle w:val="Heading2"/>
        <w:spacing w:after="100" w:before="240"/>
      </w:pPr>
      <w:r>
        <w:rPr>
          <w:b/>
          <w:bCs/>
        </w:rPr>
        <w:t xml:space="preserve">10.2 American put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Product AmericanOption, payoff Put, regression degree 3. The value must be at least the European put; the difference is the early-exercise premium.</w:t>
      </w:r>
    </w:p>
    <w:p>
      <w:pPr>
        <w:pStyle w:val="Heading2"/>
        <w:spacing w:after="100" w:before="240"/>
      </w:pPr>
      <w:r>
        <w:rPr>
          <w:b/>
          <w:bCs/>
        </w:rPr>
        <w:t xml:space="preserve">10.3 Down-and-out call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Wrapper order “Barrier on underlying”, barrier DownAndOutBarrier, UpBarrier 1e12, DownBarrier 95, both rebates 0. The price sits below the plain vanilla call and falls as the barrier approaches the spot.</w:t>
      </w:r>
    </w:p>
    <w:p>
      <w:pPr>
        <w:pStyle w:val="Heading2"/>
        <w:spacing w:after="100" w:before="240"/>
      </w:pPr>
      <w:r>
        <w:rPr>
          <w:b/>
          <w:bCs/>
        </w:rPr>
        <w:t xml:space="preserve">10.4 Heston American call with correlation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Volatility model HestonVolatility with gamma 0.30, kappa 1.5, theta 0.04. Two factors become active, so upload a 2 x 2 matrix with -0.5 off-diagonal to introduce a leverage effect.</w:t>
      </w:r>
    </w:p>
    <w:p>
      <w:pPr>
        <w:pStyle w:val="Heading2"/>
        <w:spacing w:after="100" w:before="240"/>
      </w:pPr>
      <w:r>
        <w:rPr>
          <w:b/>
          <w:bCs/>
        </w:rPr>
        <w:t xml:space="preserve">10.5 Rare-event barrier with importance sampling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European, PathIndependentOption, Barrier on underlying with UpAndInBarrier at 150. Tick importance sampling; Studio offers ISUpAndInBarrier. Compare the error against the same contract priced without it.</w:t>
      </w:r>
    </w:p>
    <w:p>
      <w:pPr>
        <w:pStyle w:val="Heading2"/>
        <w:spacing w:after="100" w:before="240"/>
      </w:pPr>
      <w:r>
        <w:rPr>
          <w:b/>
          <w:bCs/>
        </w:rPr>
        <w:t xml:space="preserve">10.6 Arithmetic Asian with a geometric control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Underlying PathArithmeticAsianOption, control variate on, analytical control “Geometric Asian Call”, 2000 calibration paths. Read rho and the two errors in the control panel.</w:t>
      </w:r>
    </w:p>
    <w:p>
      <w:pPr>
        <w:pStyle w:val="Heading2"/>
        <w:spacing w:after="100" w:before="240"/>
      </w:pPr>
      <w:r>
        <w:rPr>
          <w:b/>
          <w:bCs/>
        </w:rPr>
        <w:t xml:space="preserve">10.7 Full Hessian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Tick Compute Hessian on a plain European call at N = 10000. The matrix view and the row/column/value listing both appear. Increase N only once you know how long it takes.</w:t>
      </w:r>
    </w:p>
    <w:p>
      <w:pPr>
        <w:pStyle w:val="Heading1"/>
        <w:spacing w:after="140" w:before="320"/>
      </w:pPr>
      <w:r>
        <w:rPr>
          <w:b/>
          <w:bCs/>
        </w:rPr>
        <w:t xml:space="preserve">11. Reproducibility and good practice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Identical settings with the same seed give identical results — use this to compare configurations fairly.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Vary one input at a time when investigating a difference.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Increase N until the error is small relative to the price before drawing conclusions.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Repeat with two or three seeds to confirm convergence.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Keep Hard payoff on when comparing against published benchmarks.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Record the request panel contents alongside any number you intend to rely on.</w:t>
      </w:r>
    </w:p>
    <w:p>
      <w:pPr>
        <w:pStyle w:val="Heading1"/>
        <w:spacing w:after="140" w:before="320"/>
      </w:pPr>
      <w:r>
        <w:rPr>
          <w:b/>
          <w:bCs/>
        </w:rPr>
        <w:t xml:space="preserve">12. Limits and known behaviour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Importance sampling and analytical control variates are available for European products only.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 mismatched importance-sampling structure is rejected outright; no substitute product is priced.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Second-order sensitivities are expensive; expect minutes rather than seconds at large 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Requests are processed one at a time, so a large job briefly delays the next one.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Knock-in plus knock-out equals the unwrapped contract only when the barrier is the </w:t>
      </w:r>
      <w:r>
        <w:rPr>
          <w:rFonts w:ascii="Calibri" w:cs="Calibri" w:eastAsia="Calibri" w:hAnsi="Calibri"/>
          <w:i/>
          <w:iCs/>
          <w:sz w:val="22"/>
          <w:szCs w:val="22"/>
        </w:rPr>
        <w:t xml:space="preserve">outermost</w:t>
      </w:r>
      <w:r>
        <w:rPr>
          <w:rFonts w:ascii="Calibri" w:cs="Calibri" w:eastAsia="Calibri" w:hAnsi="Calibri"/>
          <w:sz w:val="22"/>
          <w:szCs w:val="22"/>
        </w:rPr>
        <w:t xml:space="preserve"> wrapper.</w:t>
      </w:r>
    </w:p>
    <w:p>
      <w:pPr>
        <w:pStyle w:val="Heading1"/>
        <w:spacing w:after="140" w:before="320"/>
      </w:pPr>
      <w:r>
        <w:rPr>
          <w:b/>
          <w:bCs/>
        </w:rPr>
        <w:t xml:space="preserve">13. Errors</w:t>
      </w:r>
    </w:p>
    <w:tbl>
      <w:tblPr>
        <w:tblW w:type="dxa" w:w="97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560"/>
      </w:tblGrid>
      <w:tr>
        <w:tc>
          <w:tcPr>
            <w:tcW w:type="dxa" w:w="2200"/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Message</w:t>
            </w:r>
          </w:p>
        </w:tc>
        <w:tc>
          <w:tcPr>
            <w:tcW w:type="dxa" w:w="7560"/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Meaning</w:t>
            </w:r>
          </w:p>
        </w:tc>
      </w:tr>
      <w:tr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HTTP 401</w:t>
            </w:r>
          </w:p>
        </w:tc>
        <w:tc>
          <w:tcPr>
            <w:tcW w:type="dxa" w:w="75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Missing, invalid, revoked or over-quota licence key.</w:t>
            </w:r>
          </w:p>
        </w:tc>
      </w:tr>
      <w:tr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HTTP 422</w:t>
            </w:r>
          </w:p>
        </w:tc>
        <w:tc>
          <w:tcPr>
            <w:tcW w:type="dxa" w:w="75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A rejected setting — an invalid combination, a malformed correlation matrix, a short curve, or an unsupported variance-reduction structure.</w:t>
            </w:r>
          </w:p>
        </w:tc>
      </w:tr>
      <w:tr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HTTP 429</w:t>
            </w:r>
          </w:p>
        </w:tc>
        <w:tc>
          <w:tcPr>
            <w:tcW w:type="dxa" w:w="75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Too many requests in one minute.</w:t>
            </w:r>
          </w:p>
        </w:tc>
      </w:tr>
      <w:tr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Could not reach the service</w:t>
            </w:r>
          </w:p>
        </w:tc>
        <w:tc>
          <w:tcPr>
            <w:tcW w:type="dxa" w:w="75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Network, proxy or firewall problem.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Studio shows the service's own message unchanged, so the text can be quoted directly to support.</w:t>
      </w:r>
    </w:p>
    <w:p>
      <w:pPr>
        <w:pStyle w:val="Heading1"/>
        <w:spacing w:after="140" w:before="320"/>
      </w:pPr>
      <w:r>
        <w:rPr>
          <w:b/>
          <w:bCs/>
        </w:rPr>
        <w:t xml:space="preserve">14. Support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Contact Asteroid Belt Trading Company Limited with your company name, the Studio version, the request shown in the “Request sent to price()” panel, and the complete error message.</w:t>
      </w:r>
    </w:p>
    <w:sectPr>
      <w:pgSz w:w="12240" w:h="15840" w:orient="portrait"/>
      <w:pgMar w:top="1240" w:right="1240" w:bottom="1240" w:left="12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Calibri" w:cs="Calibri" w:eastAsia="Calibri" w:hAnsi="Calibri"/>
      <w:b/>
      <w:bCs/>
      <w:color w:val="1F3864"/>
      <w:sz w:val="32"/>
      <w:szCs w:val="32"/>
    </w:rPr>
  </w:style>
  <w:style w:type="paragraph" w:styleId="Heading2">
    <w:name w:val="Heading 2"/>
    <w:basedOn w:val="Normal"/>
    <w:next w:val="Normal"/>
    <w:qFormat/>
    <w:rPr>
      <w:rFonts w:ascii="Calibri" w:cs="Calibri" w:eastAsia="Calibri" w:hAnsi="Calibri"/>
      <w:b/>
      <w:bCs/>
      <w:color w:val="2E5496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2026-07-26T20:59:52.310Z</dcterms:created>
  <dcterms:modified xsi:type="dcterms:W3CDTF">2026-07-26T20:59:52.310Z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