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OPTIPRICEPRO</w:t>
        <w:br/>
        <w:t>PANDAS</w:t>
      </w:r>
    </w:p>
    <w:p>
      <w:pPr>
        <w:jc w:val="center"/>
      </w:pPr>
      <w:r>
        <w:t>Customer Installation and Comprehensive User Guide</w:t>
      </w:r>
    </w:p>
    <w:p>
      <w:pPr>
        <w:jc w:val="center"/>
      </w:pPr>
      <w:r>
        <w:t>Secure Monte Carlo pricing through the installed Python wheel and hosted pricing service</w:t>
      </w:r>
    </w:p>
    <w:p>
      <w:r>
        <w:br/>
      </w:r>
    </w:p>
    <w:tbl>
      <w:tblPr>
        <w:tblStyle w:val="TableGrid"/>
        <w:tblW w:type="auto" w:w="0"/>
        <w:jc w:val="center"/>
        <w:tblLook w:firstColumn="1" w:firstRow="1" w:lastColumn="0" w:lastRow="0" w:noHBand="0" w:noVBand="1" w:val="04A0"/>
      </w:tblPr>
      <w:tblGrid>
        <w:gridCol w:w="10166"/>
      </w:tblGrid>
      <w:tr>
        <w:tc>
          <w:tcPr>
            <w:tcW w:type="dxa" w:w="10166"/>
            <w:shd w:fill="D9EAF7"/>
          </w:tcPr>
          <w:p>
            <w:r>
              <w:rPr>
                <w:b/>
                <w:sz w:val="18"/>
              </w:rPr>
              <w:t xml:space="preserve">Scope: </w:t>
            </w:r>
            <w:r>
              <w:rPr>
                <w:sz w:val="18"/>
              </w:rPr>
              <w:t>This guide is derived from the authoritative optipricepropandas.price() implementation, the FastAPI facade, the Pydantic request schema, and the supplied flat-structure regression tests. It describes the public API rather than internal pricing classes.</w:t>
            </w:r>
          </w:p>
        </w:tc>
      </w:tr>
    </w:tbl>
    <w:p/>
    <w:p>
      <w:pPr>
        <w:jc w:val="center"/>
      </w:pPr>
      <w:r>
        <w:rPr>
          <w:b/>
        </w:rPr>
        <w:t>Prepared from API version 2.1.0</w:t>
      </w:r>
    </w:p>
    <w:p>
      <w:r>
        <w:br w:type="page"/>
      </w:r>
    </w:p>
    <w:p>
      <w:pPr>
        <w:pStyle w:val="Heading1"/>
      </w:pPr>
      <w:r>
        <w:t>Contents</w:t>
      </w:r>
    </w:p>
    <w:p>
      <w:r>
        <w:t>1. Overview</w:t>
      </w:r>
    </w:p>
    <w:p>
      <w:r>
        <w:t>2. Customer installation and activation</w:t>
      </w:r>
    </w:p>
    <w:p>
      <w:r>
        <w:t>3. How the installed software works</w:t>
      </w:r>
    </w:p>
    <w:p>
      <w:r>
        <w:t>4. First pricing request</w:t>
      </w:r>
    </w:p>
    <w:p>
      <w:r>
        <w:t>5. Request and response model</w:t>
      </w:r>
    </w:p>
    <w:p>
      <w:r>
        <w:t>6. Exercise styles and option types</w:t>
      </w:r>
    </w:p>
    <w:p>
      <w:r>
        <w:t>7. Underlyings and path dependence</w:t>
      </w:r>
    </w:p>
    <w:p>
      <w:r>
        <w:t>8. Barrier options</w:t>
      </w:r>
    </w:p>
    <w:p>
      <w:r>
        <w:t>9. Lookback options</w:t>
      </w:r>
    </w:p>
    <w:p>
      <w:r>
        <w:t>10. American and Bermudan exercise</w:t>
      </w:r>
    </w:p>
    <w:p>
      <w:r>
        <w:t>11. Stochastic volatility and model selection</w:t>
      </w:r>
    </w:p>
    <w:p>
      <w:r>
        <w:t>12. Stock jumps</w:t>
      </w:r>
    </w:p>
    <w:p>
      <w:r>
        <w:t>13. Importance sampling</w:t>
      </w:r>
    </w:p>
    <w:p>
      <w:r>
        <w:t>14. Nested wrapper compositions</w:t>
      </w:r>
    </w:p>
    <w:p>
      <w:r>
        <w:t>15. Random-number and variance-reduction controls</w:t>
      </w:r>
    </w:p>
    <w:p>
      <w:r>
        <w:t>16. Greeks and Hessian</w:t>
      </w:r>
    </w:p>
    <w:p>
      <w:r>
        <w:t>17. Correlation matrices and low-level vectors</w:t>
      </w:r>
    </w:p>
    <w:p>
      <w:r>
        <w:t>18. Error handling and validation</w:t>
      </w:r>
    </w:p>
    <w:p>
      <w:r>
        <w:t>19. Testing and reproducibility</w:t>
      </w:r>
    </w:p>
    <w:p>
      <w:r>
        <w:t>20. Complete parameter reference</w:t>
      </w:r>
    </w:p>
    <w:p>
      <w:r>
        <w:t>Appendix A. Tested recipes</w:t>
      </w:r>
    </w:p>
    <w:p>
      <w:r>
        <w:t>Appendix B. Troubleshooting</w:t>
      </w:r>
    </w:p>
    <w:p>
      <w:pPr/>
      <w:r>
        <w:t>21. Advanced tutorial: research-grade Python workflows</w:t>
      </w:r>
    </w:p>
    <w:p>
      <w:pPr/>
      <w:r>
        <w:t>22. Longstaff-Schwartz Table 1 tutorial</w:t>
      </w:r>
    </w:p>
    <w:p>
      <w:pPr/>
      <w:r>
        <w:t>23. Heston American-call Table 3 tutorial</w:t>
      </w:r>
    </w:p>
    <w:p>
      <w:pPr/>
      <w:r>
        <w:t>24. Joint Heston-CIR American option tutorial</w:t>
      </w:r>
    </w:p>
    <w:p>
      <w:pPr/>
      <w:r>
        <w:t>25. CIR interest-rate diagnostics</w:t>
      </w:r>
    </w:p>
    <w:p>
      <w:pPr/>
      <w:r>
        <w:t>26. Stochastic-dividend diagnostics</w:t>
      </w:r>
    </w:p>
    <w:p>
      <w:pPr/>
      <w:r>
        <w:t>27. Regression-degree and seed robustness</w:t>
      </w:r>
    </w:p>
    <w:p>
      <w:pPr/>
      <w:r>
        <w:t>28. Barrier identities and regression checks</w:t>
      </w:r>
    </w:p>
    <w:p>
      <w:pPr/>
      <w:r>
        <w:t>29. Nested-wrapper diagnostics and Greeks</w:t>
      </w:r>
    </w:p>
    <w:p>
      <w:pPr/>
      <w:r>
        <w:t>30. Running the extended validation suite</w:t>
      </w:r>
    </w:p>
    <w:p>
      <w:pPr/>
      <w:r>
        <w:t>Appendix C. Extended tutorial source map</w:t>
      </w:r>
    </w:p>
    <w:p>
      <w:r>
        <w:t>31. Variance reduction: control variates</w:t>
      </w:r>
    </w:p>
    <w:p>
      <w:r>
        <w:t>32. Arithmetic Asian control variate tutorial</w:t>
      </w:r>
    </w:p>
    <w:p>
      <w:r>
        <w:t>33. Advanced control-variate products</w:t>
      </w:r>
    </w:p>
    <w:p>
      <w:r>
        <w:t>34. Random generators, samplers and Wiener processes</w:t>
      </w:r>
    </w:p>
    <w:p>
      <w:r>
        <w:t>35. American arithmetic and geometric Asian options</w:t>
      </w:r>
    </w:p>
    <w:p>
      <w:r>
        <w:t>36. American and European barrier options</w:t>
      </w:r>
    </w:p>
    <w:p>
      <w:r>
        <w:t>37. Importance sampling: public schemes</w:t>
      </w:r>
    </w:p>
    <w:p>
      <w:r>
        <w:t>38. Benchmarking every importance-sampling family</w:t>
      </w:r>
    </w:p>
    <w:p>
      <w:r>
        <w:t>39. Native American and Bermudan lookbacks with nested barriers</w:t>
      </w:r>
    </w:p>
    <w:p>
      <w:r>
        <w:t>40. Advanced LSM with jumps and model families</w:t>
      </w:r>
    </w:p>
    <w:p>
      <w:r>
        <w:t>41. Running the newly incorporated benchmark suite</w:t>
      </w:r>
    </w:p>
    <w:p>
      <w:r>
        <w:t>Appendix D. Source-to-tutorial coverage map</w:t>
      </w:r>
    </w:p>
    <w:p>
      <w:r>
        <w:br w:type="page"/>
      </w:r>
    </w:p>
    <w:p>
      <w:pPr>
        <w:pStyle w:val="Heading1"/>
      </w:pPr>
      <w:r>
        <w:t>1. Overview</w:t>
      </w:r>
    </w:p>
    <w:p>
      <w:r>
        <w:t>OptiPricePro Pandas is delivered to customers as a private Python wheel. The installed optipricepropandas package exposes the public price() function used throughout this guide. Pricing calculations are executed by the protected, provider-managed OptiPricePro service; the customer does not install, run, or receive the server source code.</w:t>
      </w:r>
    </w:p>
    <w:p>
      <w:r>
        <w:t>The customer interface uses the same flat set of named arguments across European, American, Bermudan and native lookback exercise; vanilla, digital, Asian, barrier, lookback and nested products; stochastic models; jumps; importance sampling; control variates; finite-difference Greeks; and Hessians. Authentication is performed automatically by the installed wheel using the customer API key.</w:t>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Concurrency: </w:t>
            </w:r>
            <w:r>
              <w:rPr>
                <w:sz w:val="18"/>
              </w:rPr>
              <w:t>Requests are serialized by an engine lock because the underlying pricing engine configures barriers, rebates, lookbacks, exercise points and importance-sampling settings through class-level state.</w:t>
            </w:r>
          </w:p>
        </w:tc>
      </w:tr>
    </w:tbl>
    <w:p/>
    <w:p>
      <w:pPr>
        <w:pStyle w:val="Heading1"/>
      </w:pPr>
      <w:r>
        <w:t>2. Customer installation and activation</w:t>
      </w:r>
    </w:p>
    <w:p>
      <w:pPr>
        <w:pStyle w:val="Heading2"/>
      </w:pPr>
      <w:r>
        <w:t>2.1 Create an isolated Python environment (recommended)</w:t>
      </w:r>
    </w:p>
    <w:p>
      <w:pPr>
        <w:pStyle w:val="CodeBlock"/>
      </w:pPr>
      <w:r>
        <w:t>conda create -n optipricepro-pandas python=3.11 -y</w:t>
        <w:br/>
        <w:t>conda activate optipricepro-pandas</w:t>
        <w:br/>
      </w:r>
    </w:p>
    <w:p>
      <w:r>
        <w:t>A separate environment prevents conflicts with other Python installations. The commercial software does not require the customer to install FastAPI, Uvicorn, Docker, the pricing-server repository, or any OptiPricePro source files.</w:t>
      </w:r>
    </w:p>
    <w:p>
      <w:pPr>
        <w:pStyle w:val="Heading2"/>
      </w:pPr>
      <w:r>
        <w:t>2.2 Install the supplied private wheel</w:t>
      </w:r>
    </w:p>
    <w:p>
      <w:pPr>
        <w:pStyle w:val="CodeBlock"/>
      </w:pPr>
      <w:r>
        <w:t>cd C:\path\to\the\wheel</w:t>
        <w:br/>
        <w:t>python -m pip install "optipricepropandas-&lt;version&gt;-py3-none-any.whl"</w:t>
        <w:br/>
        <w:t>python -m pip show optipricepropandas</w:t>
        <w:br/>
      </w:r>
    </w:p>
    <w:p>
      <w:pPr>
        <w:pStyle w:val="Heading2"/>
      </w:pPr>
      <w:r>
        <w:t>2.3 Set the customer API key</w:t>
      </w:r>
    </w:p>
    <w:p>
      <w:pPr>
        <w:pStyle w:val="CodeBlock"/>
      </w:pPr>
      <w:r>
        <w:t>For the current Command Prompt window:</w:t>
        <w:br/>
        <w:t>set "OPTIPRICEPROPANDAS_API_KEY=sk_live_your_customer_key"</w:t>
        <w:br/>
        <w:br/>
        <w:t>To store it for future Command Prompt windows:</w:t>
        <w:br/>
        <w:t>setx OPTIPRICEPROPANDAS_API_KEY "sk_live_your_customer_key"</w:t>
        <w:br/>
        <w:br/>
        <w:t>After using setx, close and reopen Command Prompt, then reactivate the environment.</w:t>
      </w:r>
    </w:p>
    <w:p>
      <w:pPr>
        <w:pStyle w:val="CodeBlock"/>
      </w:pPr>
      <w:r>
        <w:t>Keep the key confidential. Do not place it in source files, notebooks, screenshots, repositories, or documents sent to third parties. Each key may be subject to activation, expiry, revocation, and usage quota. HTTP 401 usually means the key is missing, invalid, revoked, or exhausted.</w:t>
      </w:r>
    </w:p>
    <w:p>
      <w:pPr>
        <w:pStyle w:val="Heading1"/>
      </w:pPr>
      <w:r>
        <w:t>3. How the installed software works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t>Component</w:t>
            </w:r>
          </w:p>
        </w:tc>
        <w:tc>
          <w:tcPr>
            <w:tcW w:type="dxa" w:w="3389"/>
            <w:vAlign w:val="center"/>
            <w:shd w:fill="1F4E78"/>
          </w:tcPr>
          <w:p>
            <w:r>
              <w:t>Role</w:t>
            </w:r>
          </w:p>
        </w:tc>
        <w:tc>
          <w:tcPr>
            <w:tcW w:type="dxa" w:w="3389"/>
            <w:vAlign w:val="center"/>
            <w:shd w:fill="1F4E78"/>
          </w:tcPr>
          <w:p>
            <w:r>
              <w:t>Customer action</w:t>
            </w:r>
          </w:p>
        </w:tc>
      </w:tr>
      <w:tr>
        <w:tc>
          <w:tcPr>
            <w:tcW w:type="dxa" w:w="2016"/>
            <w:vAlign w:val="center"/>
          </w:tcPr>
          <w:p>
            <w:r>
              <w:t>Private Python wheel</w:t>
            </w:r>
          </w:p>
        </w:tc>
        <w:tc>
          <w:tcPr>
            <w:tcW w:type="dxa" w:w="3389"/>
            <w:vAlign w:val="center"/>
          </w:tcPr>
          <w:p>
            <w:r>
              <w:t>Provides optipricepropandas.price(), request validation, authentication and result handling.</w:t>
            </w:r>
          </w:p>
        </w:tc>
        <w:tc>
          <w:tcPr>
            <w:tcW w:type="dxa" w:w="3389"/>
            <w:vAlign w:val="center"/>
          </w:tcPr>
          <w:p>
            <w:r>
              <w:t>Install the supplied .whl file in the customer environment.</w:t>
            </w:r>
          </w:p>
        </w:tc>
      </w:tr>
      <w:tr>
        <w:tc>
          <w:tcPr>
            <w:tcW w:type="dxa" w:w="2016"/>
            <w:vAlign w:val="center"/>
          </w:tcPr>
          <w:p>
            <w:r>
              <w:t>Customer API key</w:t>
            </w:r>
          </w:p>
        </w:tc>
        <w:tc>
          <w:tcPr>
            <w:tcW w:type="dxa" w:w="3389"/>
            <w:vAlign w:val="center"/>
          </w:tcPr>
          <w:p>
            <w:r>
              <w:t>Identifies and authorizes the customer account.</w:t>
            </w:r>
          </w:p>
        </w:tc>
        <w:tc>
          <w:tcPr>
            <w:tcW w:type="dxa" w:w="3389"/>
            <w:vAlign w:val="center"/>
          </w:tcPr>
          <w:p>
            <w:r>
              <w:t>Set OPTIPRICEPROPANDAS_API_KEY before running Python.</w:t>
            </w:r>
          </w:p>
        </w:tc>
      </w:tr>
      <w:tr>
        <w:tc>
          <w:tcPr>
            <w:tcW w:type="dxa" w:w="2016"/>
            <w:vAlign w:val="center"/>
          </w:tcPr>
          <w:p>
            <w:r>
              <w:t>Hosted OptiPricePro service</w:t>
            </w:r>
          </w:p>
        </w:tc>
        <w:tc>
          <w:tcPr>
            <w:tcW w:type="dxa" w:w="3389"/>
            <w:vAlign w:val="center"/>
          </w:tcPr>
          <w:p>
            <w:r>
              <w:t>Runs the protected pricing engine and returns results.</w:t>
            </w:r>
          </w:p>
        </w:tc>
        <w:tc>
          <w:tcPr>
            <w:tcW w:type="dxa" w:w="3389"/>
            <w:vAlign w:val="center"/>
          </w:tcPr>
          <w:p>
            <w:r>
              <w:t>No local server startup is required.</w:t>
            </w:r>
          </w:p>
        </w:tc>
      </w:tr>
      <w:tr>
        <w:tc>
          <w:tcPr>
            <w:tcW w:type="dxa" w:w="2016"/>
            <w:vAlign w:val="center"/>
          </w:tcPr>
          <w:p>
            <w:r>
              <w:t>Customer Python code</w:t>
            </w:r>
          </w:p>
        </w:tc>
        <w:tc>
          <w:tcPr>
            <w:tcW w:type="dxa" w:w="3389"/>
            <w:vAlign w:val="center"/>
          </w:tcPr>
          <w:p>
            <w:r>
              <w:t>Calls price(...) with flat named arguments.</w:t>
            </w:r>
          </w:p>
        </w:tc>
        <w:tc>
          <w:tcPr>
            <w:tcW w:type="dxa" w:w="3389"/>
            <w:vAlign w:val="center"/>
          </w:tcPr>
          <w:p>
            <w:r>
              <w:t>Use the examples and parameter reference in this guide.</w:t>
            </w:r>
          </w:p>
        </w:tc>
      </w:tr>
    </w:tbl>
    <w:p/>
    <w:p>
      <w:pPr>
        <w:pStyle w:val="Heading1"/>
      </w:pPr>
      <w:r>
        <w:t>4. First pricing request</w:t>
      </w:r>
    </w:p>
    <w:p>
      <w:pPr>
        <w:pStyle w:val="CodeBlock"/>
      </w:pPr>
      <w:r>
        <w:t>python -c "from optipricepropandas import price; r=price('European','Call', underlying='PathIndependentOption', wrapper_order='Underlying only', S0=100, K=100, r=0.05, sigma=0.20, y=0.0, T=1.0, M=50, N=20000, seed=0, greeks=False, retained_variables=False); print(r)"</w:t>
        <w:br/>
      </w:r>
    </w:p>
    <w:p>
      <w:pPr>
        <w:pStyle w:val="Heading2"/>
      </w:pPr>
      <w:r>
        <w:t>4.1 Python client example</w:t>
      </w:r>
    </w:p>
    <w:p>
      <w:pPr>
        <w:pStyle w:val="CodeBlock"/>
      </w:pPr>
      <w:r>
        <w:t>from optipricepropandas import price</w:t>
        <w:br/>
        <w:br/>
        <w:t>result = price(</w:t>
        <w:br/>
        <w:t xml:space="preserve">    "European",</w:t>
        <w:br/>
        <w:t xml:space="preserve">    "Call",</w:t>
        <w:br/>
        <w:t xml:space="preserve">    underlying="PathIndependentOption",</w:t>
        <w:br/>
        <w:t xml:space="preserve">    wrapper_order="Underlying only",</w:t>
        <w:br/>
        <w:t xml:space="preserve">    S0=100.0,</w:t>
        <w:br/>
        <w:t xml:space="preserve">    K=100.0,</w:t>
        <w:br/>
        <w:t xml:space="preserve">    r=0.05,</w:t>
        <w:br/>
        <w:t xml:space="preserve">    sigma=0.20,</w:t>
        <w:br/>
        <w:t xml:space="preserve">    y=0.0,</w:t>
        <w:br/>
        <w:t xml:space="preserve">    T=1.0,</w:t>
        <w:br/>
        <w:t xml:space="preserve">    M=50,</w:t>
        <w:br/>
        <w:t xml:space="preserve">    N=20000,</w:t>
        <w:br/>
        <w:t xml:space="preserve">    seed=0,</w:t>
        <w:br/>
        <w:t xml:space="preserve">    greeks=False,</w:t>
        <w:br/>
        <w:t xml:space="preserve">    retained_variables=False,</w:t>
        <w:br/>
        <w:t>)</w:t>
        <w:br/>
        <w:br/>
        <w:t>print(result["price"], result["std_error"])</w:t>
        <w:br/>
      </w:r>
    </w:p>
    <w:p>
      <w:pPr>
        <w:pStyle w:val="Heading1"/>
      </w:pPr>
      <w:r>
        <w:t>5. Request and response model</w:t>
      </w:r>
    </w:p>
    <w:p>
      <w:pPr>
        <w:pStyle w:val="Heading2"/>
      </w:pPr>
      <w:r>
        <w:t>5.1 Flat request body</w:t>
      </w:r>
    </w:p>
    <w:p>
      <w:r>
        <w:t>The two required fields are exercise and option_type. Every other field has the same default as the Python price() facade. Unknown fields are rejected because the Pydantic schema uses extra="forbid".</w:t>
      </w:r>
    </w:p>
    <w:p>
      <w:pPr>
        <w:pStyle w:val="Heading2"/>
      </w:pPr>
      <w:r>
        <w:t>5.2 Core response fields</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Field</w:t>
            </w:r>
          </w:p>
        </w:tc>
        <w:tc>
          <w:tcPr>
            <w:tcW w:type="dxa" w:w="5083"/>
            <w:vAlign w:val="center"/>
            <w:shd w:fill="1F4E78"/>
          </w:tcPr>
          <w:p>
            <w:r/>
            <w:r>
              <w:rPr>
                <w:b/>
                <w:color w:val="FFFFFF"/>
                <w:sz w:val="18"/>
              </w:rPr>
              <w:t>Meaning</w:t>
            </w:r>
          </w:p>
        </w:tc>
      </w:tr>
      <w:tr>
        <w:tc>
          <w:tcPr>
            <w:tcW w:type="dxa" w:w="2016"/>
            <w:vAlign w:val="center"/>
          </w:tcPr>
          <w:p>
            <w:r/>
            <w:r>
              <w:rPr>
                <w:b w:val="0"/>
                <w:sz w:val="17"/>
              </w:rPr>
              <w:t>price</w:t>
            </w:r>
          </w:p>
        </w:tc>
        <w:tc>
          <w:tcPr>
            <w:tcW w:type="dxa" w:w="5083"/>
            <w:vAlign w:val="center"/>
          </w:tcPr>
          <w:p>
            <w:r/>
            <w:r>
              <w:rPr>
                <w:b w:val="0"/>
                <w:sz w:val="17"/>
              </w:rPr>
              <w:t>Estimated discounted option value.</w:t>
            </w:r>
          </w:p>
        </w:tc>
      </w:tr>
      <w:tr>
        <w:tc>
          <w:tcPr>
            <w:tcW w:type="dxa" w:w="2016"/>
            <w:vAlign w:val="center"/>
          </w:tcPr>
          <w:p>
            <w:r/>
            <w:r>
              <w:rPr>
                <w:b w:val="0"/>
                <w:sz w:val="17"/>
              </w:rPr>
              <w:t>std_error</w:t>
            </w:r>
          </w:p>
        </w:tc>
        <w:tc>
          <w:tcPr>
            <w:tcW w:type="dxa" w:w="5083"/>
            <w:vAlign w:val="center"/>
          </w:tcPr>
          <w:p>
            <w:r/>
            <w:r>
              <w:rPr>
                <w:b w:val="0"/>
                <w:sz w:val="17"/>
              </w:rPr>
              <w:t>Monte Carlo standard error. For repeated variance-reduction runs, this is the standard deviation of replication prices divided by sqrt(R).</w:t>
            </w:r>
          </w:p>
        </w:tc>
      </w:tr>
      <w:tr>
        <w:tc>
          <w:tcPr>
            <w:tcW w:type="dxa" w:w="2016"/>
            <w:vAlign w:val="center"/>
          </w:tcPr>
          <w:p>
            <w:r/>
            <w:r>
              <w:rPr>
                <w:b w:val="0"/>
                <w:sz w:val="17"/>
              </w:rPr>
              <w:t>config_echo</w:t>
            </w:r>
          </w:p>
        </w:tc>
        <w:tc>
          <w:tcPr>
            <w:tcW w:type="dxa" w:w="5083"/>
            <w:vAlign w:val="center"/>
          </w:tcPr>
          <w:p>
            <w:r/>
            <w:r>
              <w:rPr>
                <w:b w:val="0"/>
                <w:sz w:val="17"/>
              </w:rPr>
              <w:t>Resolved configuration: exercise, product, wrappers, generators, models, parameters, repetition method and related diagnostics.</w:t>
            </w:r>
          </w:p>
        </w:tc>
      </w:tr>
      <w:tr>
        <w:tc>
          <w:tcPr>
            <w:tcW w:type="dxa" w:w="2016"/>
            <w:vAlign w:val="center"/>
          </w:tcPr>
          <w:p>
            <w:r/>
            <w:r>
              <w:rPr>
                <w:b w:val="0"/>
                <w:sz w:val="17"/>
              </w:rPr>
              <w:t>greeks</w:t>
            </w:r>
          </w:p>
        </w:tc>
        <w:tc>
          <w:tcPr>
            <w:tcW w:type="dxa" w:w="5083"/>
            <w:vAlign w:val="center"/>
          </w:tcPr>
          <w:p>
            <w:r/>
            <w:r>
              <w:rPr>
                <w:b w:val="0"/>
                <w:sz w:val="17"/>
              </w:rPr>
              <w:t>Finite-difference sensitivity results when requested; otherwise null or absent depending on serialization.</w:t>
            </w:r>
          </w:p>
        </w:tc>
      </w:tr>
      <w:tr>
        <w:tc>
          <w:tcPr>
            <w:tcW w:type="dxa" w:w="2016"/>
            <w:vAlign w:val="center"/>
          </w:tcPr>
          <w:p>
            <w:r/>
            <w:r>
              <w:rPr>
                <w:b w:val="0"/>
                <w:sz w:val="17"/>
              </w:rPr>
              <w:t>importance_sampling</w:t>
            </w:r>
          </w:p>
        </w:tc>
        <w:tc>
          <w:tcPr>
            <w:tcW w:type="dxa" w:w="5083"/>
            <w:vAlign w:val="center"/>
          </w:tcPr>
          <w:p>
            <w:r/>
            <w:r>
              <w:rPr>
                <w:b w:val="0"/>
                <w:sz w:val="17"/>
              </w:rPr>
              <w:t>Resolved importance-sampling class name or null.</w:t>
            </w:r>
          </w:p>
        </w:tc>
      </w:tr>
      <w:tr>
        <w:tc>
          <w:tcPr>
            <w:tcW w:type="dxa" w:w="2016"/>
            <w:vAlign w:val="center"/>
          </w:tcPr>
          <w:p>
            <w:r/>
            <w:r>
              <w:rPr>
                <w:b w:val="0"/>
                <w:sz w:val="17"/>
              </w:rPr>
              <w:t>raw_price_without_control_variate</w:t>
            </w:r>
          </w:p>
        </w:tc>
        <w:tc>
          <w:tcPr>
            <w:tcW w:type="dxa" w:w="5083"/>
            <w:vAlign w:val="center"/>
          </w:tcPr>
          <w:p>
            <w:r/>
            <w:r>
              <w:rPr>
                <w:b w:val="0"/>
                <w:sz w:val="17"/>
              </w:rPr>
              <w:t>Unadjusted Monte Carlo price before a control-variate correction.</w:t>
            </w:r>
          </w:p>
        </w:tc>
      </w:tr>
      <w:tr>
        <w:tc>
          <w:tcPr>
            <w:tcW w:type="dxa" w:w="2016"/>
            <w:vAlign w:val="center"/>
          </w:tcPr>
          <w:p>
            <w:r/>
            <w:r>
              <w:rPr>
                <w:b w:val="0"/>
                <w:sz w:val="17"/>
              </w:rPr>
              <w:t>control_variate_beta</w:t>
            </w:r>
          </w:p>
        </w:tc>
        <w:tc>
          <w:tcPr>
            <w:tcW w:type="dxa" w:w="5083"/>
            <w:vAlign w:val="center"/>
          </w:tcPr>
          <w:p>
            <w:r/>
            <w:r>
              <w:rPr>
                <w:b w:val="0"/>
                <w:sz w:val="17"/>
              </w:rPr>
              <w:t>Estimated control-variate coefficient when enabled.</w:t>
            </w:r>
          </w:p>
        </w:tc>
      </w:tr>
    </w:tbl>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JSON conversion: </w:t>
            </w:r>
            <w:r>
              <w:rPr>
                <w:sz w:val="18"/>
              </w:rPr>
              <w:t>NumPy arrays and scalar types are converted recursively. Non-finite floating-point values are serialized as null.</w:t>
            </w:r>
          </w:p>
        </w:tc>
      </w:tr>
    </w:tbl>
    <w:p/>
    <w:p>
      <w:pPr>
        <w:pStyle w:val="Heading1"/>
      </w:pPr>
      <w:r>
        <w:t>6. Exercise styles and option types</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Parameter</w:t>
            </w:r>
          </w:p>
        </w:tc>
        <w:tc>
          <w:tcPr>
            <w:tcW w:type="dxa" w:w="5083"/>
            <w:vAlign w:val="center"/>
            <w:shd w:fill="1F4E78"/>
          </w:tcPr>
          <w:p>
            <w:r/>
            <w:r>
              <w:rPr>
                <w:b/>
                <w:color w:val="FFFFFF"/>
                <w:sz w:val="18"/>
              </w:rPr>
              <w:t>Accepted values</w:t>
            </w:r>
          </w:p>
        </w:tc>
      </w:tr>
      <w:tr>
        <w:tc>
          <w:tcPr>
            <w:tcW w:type="dxa" w:w="2016"/>
            <w:vAlign w:val="center"/>
          </w:tcPr>
          <w:p>
            <w:r/>
            <w:r>
              <w:rPr>
                <w:b w:val="0"/>
                <w:sz w:val="17"/>
              </w:rPr>
              <w:t>exercise</w:t>
            </w:r>
          </w:p>
        </w:tc>
        <w:tc>
          <w:tcPr>
            <w:tcW w:type="dxa" w:w="5083"/>
            <w:vAlign w:val="center"/>
          </w:tcPr>
          <w:p>
            <w:r/>
            <w:r>
              <w:rPr>
                <w:b w:val="0"/>
                <w:sz w:val="17"/>
              </w:rPr>
              <w:t>European, EuropeanOption, Euro; American; Bermudan or Bermuda; native lookback classes listed below.</w:t>
            </w:r>
          </w:p>
        </w:tc>
      </w:tr>
      <w:tr>
        <w:tc>
          <w:tcPr>
            <w:tcW w:type="dxa" w:w="2016"/>
            <w:vAlign w:val="center"/>
          </w:tcPr>
          <w:p>
            <w:r/>
            <w:r>
              <w:rPr>
                <w:b w:val="0"/>
                <w:sz w:val="17"/>
              </w:rPr>
              <w:t>option_type</w:t>
            </w:r>
          </w:p>
        </w:tc>
        <w:tc>
          <w:tcPr>
            <w:tcW w:type="dxa" w:w="5083"/>
            <w:vAlign w:val="center"/>
          </w:tcPr>
          <w:p>
            <w:r/>
            <w:r>
              <w:rPr>
                <w:b w:val="0"/>
                <w:sz w:val="17"/>
              </w:rPr>
              <w:t>Call, Put, DigitalCall, DigitalPut.</w:t>
            </w:r>
          </w:p>
        </w:tc>
      </w:tr>
    </w:tbl>
    <w:p/>
    <w:p>
      <w:pPr>
        <w:pStyle w:val="Heading2"/>
      </w:pPr>
      <w:r>
        <w:t>6.1 Native lookback exercise names</w:t>
      </w:r>
    </w:p>
    <w:p>
      <w:pPr>
        <w:pStyle w:val="ListBullet"/>
      </w:pPr>
      <w:r>
        <w:t>LookBackAmericanOptionFixedStrike</w:t>
      </w:r>
    </w:p>
    <w:p>
      <w:pPr>
        <w:pStyle w:val="ListBullet"/>
      </w:pPr>
      <w:r>
        <w:t>LookBackAmericanOptionFloatingStrike</w:t>
      </w:r>
    </w:p>
    <w:p>
      <w:pPr>
        <w:pStyle w:val="ListBullet"/>
      </w:pPr>
      <w:r>
        <w:t>LookbackBermudaOptionFixedStrike</w:t>
      </w:r>
    </w:p>
    <w:p>
      <w:pPr>
        <w:pStyle w:val="ListBullet"/>
      </w:pPr>
      <w:r>
        <w:t>LookbackBermudaOptionFloatingStrike</w:t>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Native lookback normalization: </w:t>
            </w:r>
            <w:r>
              <w:rPr>
                <w:sz w:val="18"/>
              </w:rPr>
              <w:t>A native lookback exercise class already defines its lookback structure. Use wrapper_order="Underlying only" and pass the matching lookback name for compatibility; internally the facade normalizes the effective wrapper and lookback fields.</w:t>
            </w:r>
          </w:p>
        </w:tc>
      </w:tr>
    </w:tbl>
    <w:p/>
    <w:p>
      <w:pPr>
        <w:pStyle w:val="Heading1"/>
      </w:pPr>
      <w:r>
        <w:t>7. Underlyings and path dependence</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Underlying</w:t>
            </w:r>
          </w:p>
        </w:tc>
        <w:tc>
          <w:tcPr>
            <w:tcW w:type="dxa" w:w="5083"/>
            <w:vAlign w:val="center"/>
            <w:shd w:fill="1F4E78"/>
          </w:tcPr>
          <w:p>
            <w:r/>
            <w:r>
              <w:rPr>
                <w:b/>
                <w:color w:val="FFFFFF"/>
                <w:sz w:val="18"/>
              </w:rPr>
              <w:t>Use</w:t>
            </w:r>
          </w:p>
        </w:tc>
      </w:tr>
      <w:tr>
        <w:tc>
          <w:tcPr>
            <w:tcW w:type="dxa" w:w="2016"/>
            <w:vAlign w:val="center"/>
          </w:tcPr>
          <w:p>
            <w:r/>
            <w:r>
              <w:rPr>
                <w:b w:val="0"/>
                <w:sz w:val="17"/>
              </w:rPr>
              <w:t>PathIndependentOption</w:t>
            </w:r>
          </w:p>
        </w:tc>
        <w:tc>
          <w:tcPr>
            <w:tcW w:type="dxa" w:w="5083"/>
            <w:vAlign w:val="center"/>
          </w:tcPr>
          <w:p>
            <w:r/>
            <w:r>
              <w:rPr>
                <w:b w:val="0"/>
                <w:sz w:val="17"/>
              </w:rPr>
              <w:t>Vanilla, digital and wrapped barrier/lookback products.</w:t>
            </w:r>
          </w:p>
        </w:tc>
      </w:tr>
      <w:tr>
        <w:tc>
          <w:tcPr>
            <w:tcW w:type="dxa" w:w="2016"/>
            <w:vAlign w:val="center"/>
          </w:tcPr>
          <w:p>
            <w:r/>
            <w:r>
              <w:rPr>
                <w:b w:val="0"/>
                <w:sz w:val="17"/>
              </w:rPr>
              <w:t>PathArithmeticAsianOption</w:t>
            </w:r>
          </w:p>
        </w:tc>
        <w:tc>
          <w:tcPr>
            <w:tcW w:type="dxa" w:w="5083"/>
            <w:vAlign w:val="center"/>
          </w:tcPr>
          <w:p>
            <w:r/>
            <w:r>
              <w:rPr>
                <w:b w:val="0"/>
                <w:sz w:val="17"/>
              </w:rPr>
              <w:t>Arithmetic-average Asian option.</w:t>
            </w:r>
          </w:p>
        </w:tc>
      </w:tr>
      <w:tr>
        <w:tc>
          <w:tcPr>
            <w:tcW w:type="dxa" w:w="2016"/>
            <w:vAlign w:val="center"/>
          </w:tcPr>
          <w:p>
            <w:r/>
            <w:r>
              <w:rPr>
                <w:b w:val="0"/>
                <w:sz w:val="17"/>
              </w:rPr>
              <w:t>PathGeometricAsianOption</w:t>
            </w:r>
          </w:p>
        </w:tc>
        <w:tc>
          <w:tcPr>
            <w:tcW w:type="dxa" w:w="5083"/>
            <w:vAlign w:val="center"/>
          </w:tcPr>
          <w:p>
            <w:r/>
            <w:r>
              <w:rPr>
                <w:b w:val="0"/>
                <w:sz w:val="17"/>
              </w:rPr>
              <w:t>Geometric-average Asian option.</w:t>
            </w:r>
          </w:p>
        </w:tc>
      </w:tr>
    </w:tbl>
    <w:p/>
    <w:p>
      <w:pPr>
        <w:pStyle w:val="Heading2"/>
      </w:pPr>
      <w:r>
        <w:t>7.1 Geometric Asian call</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underlying="PathGeometricAsianOption",</w:t>
        <w:br/>
      </w:r>
      <w:r>
        <w:rPr>
          <w:rFonts w:ascii="Consolas" w:hAnsi="Consolas" w:eastAsia="Consolas"/>
          <w:sz w:val="16"/>
        </w:rPr>
        <w:t xml:space="preserve">        wrapper_order="Underlying only",</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7.2 Arithmetic Asian call</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underlying="PathArithmeticAsianOption",</w:t>
        <w:br/>
      </w:r>
      <w:r>
        <w:rPr>
          <w:rFonts w:ascii="Consolas" w:hAnsi="Consolas" w:eastAsia="Consolas"/>
          <w:sz w:val="16"/>
        </w:rPr>
        <w:t xml:space="preserve">        wrapper_order="Underlying only",</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Tested relation: </w:t>
            </w:r>
            <w:r>
              <w:rPr>
                <w:sz w:val="18"/>
              </w:rPr>
              <w:t>For the tested positive-price call contract, the arithmetic-average call is checked not to fall below the geometric-average call beyond combined Monte Carlo uncertainty.</w:t>
            </w:r>
          </w:p>
        </w:tc>
      </w:tr>
    </w:tbl>
    <w:p/>
    <w:p>
      <w:pPr>
        <w:pStyle w:val="Heading1"/>
      </w:pPr>
      <w:r>
        <w:t>8. Barrier options</w:t>
      </w:r>
    </w:p>
    <w:p>
      <w:r>
        <w:t>Set wrapper_order to "Barrier on underlying", provide barrier, and set the relevant barrier levels and rebates. A very large upper level or zero lower level can be used to make one side effectively inactive where the product semantics permit it.</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Tested barrier class</w:t>
            </w:r>
          </w:p>
        </w:tc>
        <w:tc>
          <w:tcPr>
            <w:tcW w:type="dxa" w:w="5083"/>
            <w:vAlign w:val="center"/>
            <w:shd w:fill="1F4E78"/>
          </w:tcPr>
          <w:p>
            <w:r/>
            <w:r>
              <w:rPr>
                <w:b/>
                <w:color w:val="FFFFFF"/>
                <w:sz w:val="18"/>
              </w:rPr>
              <w:t>Description</w:t>
            </w:r>
          </w:p>
        </w:tc>
      </w:tr>
      <w:tr>
        <w:tc>
          <w:tcPr>
            <w:tcW w:type="dxa" w:w="2016"/>
            <w:vAlign w:val="center"/>
          </w:tcPr>
          <w:p>
            <w:r/>
            <w:r>
              <w:rPr>
                <w:b w:val="0"/>
                <w:sz w:val="17"/>
              </w:rPr>
              <w:t>DownAndOutBarrier</w:t>
            </w:r>
          </w:p>
        </w:tc>
        <w:tc>
          <w:tcPr>
            <w:tcW w:type="dxa" w:w="5083"/>
            <w:vAlign w:val="center"/>
          </w:tcPr>
          <w:p>
            <w:r/>
            <w:r>
              <w:rPr>
                <w:b w:val="0"/>
                <w:sz w:val="17"/>
              </w:rPr>
              <w:t>Knocks out after a lower barrier event.</w:t>
            </w:r>
          </w:p>
        </w:tc>
      </w:tr>
      <w:tr>
        <w:tc>
          <w:tcPr>
            <w:tcW w:type="dxa" w:w="2016"/>
            <w:vAlign w:val="center"/>
          </w:tcPr>
          <w:p>
            <w:r/>
            <w:r>
              <w:rPr>
                <w:b w:val="0"/>
                <w:sz w:val="17"/>
              </w:rPr>
              <w:t>DownAndInBarrier</w:t>
            </w:r>
          </w:p>
        </w:tc>
        <w:tc>
          <w:tcPr>
            <w:tcW w:type="dxa" w:w="5083"/>
            <w:vAlign w:val="center"/>
          </w:tcPr>
          <w:p>
            <w:r/>
            <w:r>
              <w:rPr>
                <w:b w:val="0"/>
                <w:sz w:val="17"/>
              </w:rPr>
              <w:t>Knocks in after a lower barrier event.</w:t>
            </w:r>
          </w:p>
        </w:tc>
      </w:tr>
      <w:tr>
        <w:tc>
          <w:tcPr>
            <w:tcW w:type="dxa" w:w="2016"/>
            <w:vAlign w:val="center"/>
          </w:tcPr>
          <w:p>
            <w:r/>
            <w:r>
              <w:rPr>
                <w:b w:val="0"/>
                <w:sz w:val="17"/>
              </w:rPr>
              <w:t>UpAndOutBarrier</w:t>
            </w:r>
          </w:p>
        </w:tc>
        <w:tc>
          <w:tcPr>
            <w:tcW w:type="dxa" w:w="5083"/>
            <w:vAlign w:val="center"/>
          </w:tcPr>
          <w:p>
            <w:r/>
            <w:r>
              <w:rPr>
                <w:b w:val="0"/>
                <w:sz w:val="17"/>
              </w:rPr>
              <w:t>Knocks out after an upper barrier event.</w:t>
            </w:r>
          </w:p>
        </w:tc>
      </w:tr>
      <w:tr>
        <w:tc>
          <w:tcPr>
            <w:tcW w:type="dxa" w:w="2016"/>
            <w:vAlign w:val="center"/>
          </w:tcPr>
          <w:p>
            <w:r/>
            <w:r>
              <w:rPr>
                <w:b w:val="0"/>
                <w:sz w:val="17"/>
              </w:rPr>
              <w:t>UpAndInBarrier</w:t>
            </w:r>
          </w:p>
        </w:tc>
        <w:tc>
          <w:tcPr>
            <w:tcW w:type="dxa" w:w="5083"/>
            <w:vAlign w:val="center"/>
          </w:tcPr>
          <w:p>
            <w:r/>
            <w:r>
              <w:rPr>
                <w:b w:val="0"/>
                <w:sz w:val="17"/>
              </w:rPr>
              <w:t>Knocks in after an upper barrier event.</w:t>
            </w:r>
          </w:p>
        </w:tc>
      </w:tr>
      <w:tr>
        <w:tc>
          <w:tcPr>
            <w:tcW w:type="dxa" w:w="2016"/>
            <w:vAlign w:val="center"/>
          </w:tcPr>
          <w:p>
            <w:r/>
            <w:r>
              <w:rPr>
                <w:b w:val="0"/>
                <w:sz w:val="17"/>
              </w:rPr>
              <w:t>DoubleKnockOutBarrier</w:t>
            </w:r>
          </w:p>
        </w:tc>
        <w:tc>
          <w:tcPr>
            <w:tcW w:type="dxa" w:w="5083"/>
            <w:vAlign w:val="center"/>
          </w:tcPr>
          <w:p>
            <w:r/>
            <w:r>
              <w:rPr>
                <w:b w:val="0"/>
                <w:sz w:val="17"/>
              </w:rPr>
              <w:t>Knocks out on either lower or upper event.</w:t>
            </w:r>
          </w:p>
        </w:tc>
      </w:tr>
      <w:tr>
        <w:tc>
          <w:tcPr>
            <w:tcW w:type="dxa" w:w="2016"/>
            <w:vAlign w:val="center"/>
          </w:tcPr>
          <w:p>
            <w:r/>
            <w:r>
              <w:rPr>
                <w:b w:val="0"/>
                <w:sz w:val="17"/>
              </w:rPr>
              <w:t>DoubleKnockInBarrier</w:t>
            </w:r>
          </w:p>
        </w:tc>
        <w:tc>
          <w:tcPr>
            <w:tcW w:type="dxa" w:w="5083"/>
            <w:vAlign w:val="center"/>
          </w:tcPr>
          <w:p>
            <w:r/>
            <w:r>
              <w:rPr>
                <w:b w:val="0"/>
                <w:sz w:val="17"/>
              </w:rPr>
              <w:t>Knocks in through double-barrier logic.</w:t>
            </w:r>
          </w:p>
        </w:tc>
      </w:tr>
      <w:tr>
        <w:tc>
          <w:tcPr>
            <w:tcW w:type="dxa" w:w="2016"/>
            <w:vAlign w:val="center"/>
          </w:tcPr>
          <w:p>
            <w:r/>
            <w:r>
              <w:rPr>
                <w:b w:val="0"/>
                <w:sz w:val="17"/>
              </w:rPr>
              <w:t>UpKnockInDownKnockOutBarrier</w:t>
            </w:r>
          </w:p>
        </w:tc>
        <w:tc>
          <w:tcPr>
            <w:tcW w:type="dxa" w:w="5083"/>
            <w:vAlign w:val="center"/>
          </w:tcPr>
          <w:p>
            <w:r/>
            <w:r>
              <w:rPr>
                <w:b w:val="0"/>
                <w:sz w:val="17"/>
              </w:rPr>
              <w:t>Upper knock-in combined with lower knock-out.</w:t>
            </w:r>
          </w:p>
        </w:tc>
      </w:tr>
      <w:tr>
        <w:tc>
          <w:tcPr>
            <w:tcW w:type="dxa" w:w="2016"/>
            <w:vAlign w:val="center"/>
          </w:tcPr>
          <w:p>
            <w:r/>
            <w:r>
              <w:rPr>
                <w:b w:val="0"/>
                <w:sz w:val="17"/>
              </w:rPr>
              <w:t>UpKnockOutDownKnockInBarrier</w:t>
            </w:r>
          </w:p>
        </w:tc>
        <w:tc>
          <w:tcPr>
            <w:tcW w:type="dxa" w:w="5083"/>
            <w:vAlign w:val="center"/>
          </w:tcPr>
          <w:p>
            <w:r/>
            <w:r>
              <w:rPr>
                <w:b w:val="0"/>
                <w:sz w:val="17"/>
              </w:rPr>
              <w:t>Upper knock-out combined with lower knock-in.</w:t>
            </w:r>
          </w:p>
        </w:tc>
      </w:tr>
    </w:tbl>
    <w:p/>
    <w:p>
      <w:pPr>
        <w:pStyle w:val="Heading2"/>
      </w:pPr>
      <w:r>
        <w:t>8.1 European down-and-out call</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wrapper_order="Barrier on underlying",</w:t>
        <w:br/>
      </w:r>
      <w:r>
        <w:rPr>
          <w:rFonts w:ascii="Consolas" w:hAnsi="Consolas" w:eastAsia="Consolas"/>
          <w:sz w:val="16"/>
        </w:rPr>
        <w:t xml:space="preserve">        barrier="DownAndOutBarrier",</w:t>
        <w:br/>
      </w:r>
      <w:r>
        <w:rPr>
          <w:rFonts w:ascii="Consolas" w:hAnsi="Consolas" w:eastAsia="Consolas"/>
          <w:sz w:val="16"/>
        </w:rPr>
        <w:t xml:space="preserve">        up_barrier=1.0e12,</w:t>
        <w:br/>
      </w:r>
      <w:r>
        <w:rPr>
          <w:rFonts w:ascii="Consolas" w:hAnsi="Consolas" w:eastAsia="Consolas"/>
          <w:sz w:val="16"/>
        </w:rPr>
        <w:t xml:space="preserve">        down_barrier=float(barrier_level),</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8.2 American up-and-out put</w:t>
      </w:r>
    </w:p>
    <w:p>
      <w:pPr>
        <w:pStyle w:val="CodeBlock"/>
      </w:pPr>
      <w:r>
        <w:rPr>
          <w:rFonts w:ascii="Consolas" w:hAnsi="Consolas" w:eastAsia="Consolas"/>
          <w:sz w:val="16"/>
        </w:rPr>
        <w:t>price(</w:t>
        <w:br/>
      </w:r>
      <w:r>
        <w:rPr>
          <w:rFonts w:ascii="Consolas" w:hAnsi="Consolas" w:eastAsia="Consolas"/>
          <w:sz w:val="16"/>
        </w:rPr>
        <w:t xml:space="preserve">        "American",</w:t>
        <w:br/>
      </w:r>
      <w:r>
        <w:rPr>
          <w:rFonts w:ascii="Consolas" w:hAnsi="Consolas" w:eastAsia="Consolas"/>
          <w:sz w:val="16"/>
        </w:rPr>
        <w:t xml:space="preserve">        "Put",</w:t>
        <w:br/>
      </w:r>
      <w:r>
        <w:rPr>
          <w:rFonts w:ascii="Consolas" w:hAnsi="Consolas" w:eastAsia="Consolas"/>
          <w:sz w:val="16"/>
        </w:rPr>
        <w:t xml:space="preserve">        underlying="PathIndependentOption",</w:t>
        <w:br/>
      </w:r>
      <w:r>
        <w:rPr>
          <w:rFonts w:ascii="Consolas" w:hAnsi="Consolas" w:eastAsia="Consolas"/>
          <w:sz w:val="16"/>
        </w:rPr>
        <w:t xml:space="preserve">        wrapper_order="Barrier on underlying",</w:t>
        <w:br/>
      </w:r>
      <w:r>
        <w:rPr>
          <w:rFonts w:ascii="Consolas" w:hAnsi="Consolas" w:eastAsia="Consolas"/>
          <w:sz w:val="16"/>
        </w:rPr>
        <w:t xml:space="preserve">        barrier="UpAndOutBarrier",</w:t>
        <w:br/>
      </w:r>
      <w:r>
        <w:rPr>
          <w:rFonts w:ascii="Consolas" w:hAnsi="Consolas" w:eastAsia="Consolas"/>
          <w:sz w:val="16"/>
        </w:rPr>
        <w:t xml:space="preserve">        up_barrier=105.0,</w:t>
        <w:br/>
      </w:r>
      <w:r>
        <w:rPr>
          <w:rFonts w:ascii="Consolas" w:hAnsi="Consolas" w:eastAsia="Consolas"/>
          <w:sz w:val="16"/>
        </w:rPr>
        <w:t xml:space="preserve">        down_barrier=1.0e-8,</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S0=100.0,</w:t>
        <w:br/>
      </w:r>
      <w:r>
        <w:rPr>
          <w:rFonts w:ascii="Consolas" w:hAnsi="Consolas" w:eastAsia="Consolas"/>
          <w:sz w:val="16"/>
        </w:rPr>
        <w:t xml:space="preserve">        K=100.0,</w:t>
        <w:br/>
      </w:r>
      <w:r>
        <w:rPr>
          <w:rFonts w:ascii="Consolas" w:hAnsi="Consolas" w:eastAsia="Consolas"/>
          <w:sz w:val="16"/>
        </w:rPr>
        <w:t xml:space="preserve">        r=0.10,</w:t>
        <w:br/>
      </w:r>
      <w:r>
        <w:rPr>
          <w:rFonts w:ascii="Consolas" w:hAnsi="Consolas" w:eastAsia="Consolas"/>
          <w:sz w:val="16"/>
        </w:rPr>
        <w:t xml:space="preserve">        sigma=0.20,</w:t>
        <w:br/>
      </w:r>
      <w:r>
        <w:rPr>
          <w:rFonts w:ascii="Consolas" w:hAnsi="Consolas" w:eastAsia="Consolas"/>
          <w:sz w:val="16"/>
        </w:rPr>
        <w:t xml:space="preserve">        y=0.0,</w:t>
        <w:br/>
      </w:r>
      <w:r>
        <w:rPr>
          <w:rFonts w:ascii="Consolas" w:hAnsi="Consolas" w:eastAsia="Consolas"/>
          <w:sz w:val="16"/>
        </w:rPr>
        <w:t xml:space="preserve">        T=0.50,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num_exercise_points=N_STEPS,</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Barrier parity: </w:t>
            </w:r>
            <w:r>
              <w:rPr>
                <w:sz w:val="18"/>
              </w:rPr>
              <w:t>With zero rebates, corresponding in and out values are tested against the vanilla value: out + in approximately equals vanilla within combined Monte Carlo error.</w:t>
            </w:r>
          </w:p>
        </w:tc>
      </w:tr>
    </w:tbl>
    <w:p/>
    <w:p>
      <w:pPr>
        <w:pStyle w:val="Heading1"/>
      </w:pPr>
      <w:r>
        <w:t>9. Lookback options</w:t>
      </w:r>
    </w:p>
    <w:p>
      <w:r>
        <w:t>For European lookbacks, wrap the underlying with wrapper_order="Lookback on underlying" and select LookbacksFixedStrike or LookbacksFloatingStrike.</w:t>
      </w:r>
    </w:p>
    <w:p>
      <w:pPr>
        <w:pStyle w:val="Heading2"/>
      </w:pPr>
      <w:r>
        <w:t>9.1 European fixed-strike lookback</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wrapper_order="Lookback on underlying",</w:t>
        <w:br/>
      </w:r>
      <w:r>
        <w:rPr>
          <w:rFonts w:ascii="Consolas" w:hAnsi="Consolas" w:eastAsia="Consolas"/>
          <w:sz w:val="16"/>
        </w:rPr>
        <w:t xml:space="preserve">        lookback="LookbacksFixedStrike",</w:t>
        <w:br/>
      </w:r>
      <w:r>
        <w:rPr>
          <w:rFonts w:ascii="Consolas" w:hAnsi="Consolas" w:eastAsia="Consolas"/>
          <w:sz w:val="16"/>
        </w:rPr>
        <w:t xml:space="preserve">        S0=100.0,</w:t>
        <w:br/>
      </w:r>
      <w:r>
        <w:rPr>
          <w:rFonts w:ascii="Consolas" w:hAnsi="Consolas" w:eastAsia="Consolas"/>
          <w:sz w:val="16"/>
        </w:rPr>
        <w:t xml:space="preserve">        K=100.0,</w:t>
        <w:br/>
      </w:r>
      <w:r>
        <w:rPr>
          <w:rFonts w:ascii="Consolas" w:hAnsi="Consolas" w:eastAsia="Consolas"/>
          <w:sz w:val="16"/>
        </w:rPr>
        <w:t xml:space="preserve">        r=0.10,</w:t>
        <w:br/>
      </w:r>
      <w:r>
        <w:rPr>
          <w:rFonts w:ascii="Consolas" w:hAnsi="Consolas" w:eastAsia="Consolas"/>
          <w:sz w:val="16"/>
        </w:rPr>
        <w:t xml:space="preserve">        sigma=0.30,</w:t>
        <w:br/>
      </w:r>
      <w:r>
        <w:rPr>
          <w:rFonts w:ascii="Consolas" w:hAnsi="Consolas" w:eastAsia="Consolas"/>
          <w:sz w:val="16"/>
        </w:rPr>
        <w:t xml:space="preserve">        y=0.0,</w:t>
        <w:br/>
      </w:r>
      <w:r>
        <w:rPr>
          <w:rFonts w:ascii="Consolas" w:hAnsi="Consolas" w:eastAsia="Consolas"/>
          <w:sz w:val="16"/>
        </w:rPr>
        <w:t xml:space="preserve">        T=0.20,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9.2 European floating-strike lookback</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wrapper_order="Lookback on underlying",</w:t>
        <w:br/>
      </w:r>
      <w:r>
        <w:rPr>
          <w:rFonts w:ascii="Consolas" w:hAnsi="Consolas" w:eastAsia="Consolas"/>
          <w:sz w:val="16"/>
        </w:rPr>
        <w:t xml:space="preserve">        lookback="LookbacksFloatingStrike",</w:t>
        <w:br/>
      </w:r>
      <w:r>
        <w:rPr>
          <w:rFonts w:ascii="Consolas" w:hAnsi="Consolas" w:eastAsia="Consolas"/>
          <w:sz w:val="16"/>
        </w:rPr>
        <w:t xml:space="preserve">        S0=100.0,</w:t>
        <w:br/>
      </w:r>
      <w:r>
        <w:rPr>
          <w:rFonts w:ascii="Consolas" w:hAnsi="Consolas" w:eastAsia="Consolas"/>
          <w:sz w:val="16"/>
        </w:rPr>
        <w:t xml:space="preserve">        K=90.0,</w:t>
        <w:br/>
      </w:r>
      <w:r>
        <w:rPr>
          <w:rFonts w:ascii="Consolas" w:hAnsi="Consolas" w:eastAsia="Consolas"/>
          <w:sz w:val="16"/>
        </w:rPr>
        <w:t xml:space="preserve">        r=0.10,</w:t>
        <w:br/>
      </w:r>
      <w:r>
        <w:rPr>
          <w:rFonts w:ascii="Consolas" w:hAnsi="Consolas" w:eastAsia="Consolas"/>
          <w:sz w:val="16"/>
        </w:rPr>
        <w:t xml:space="preserve">        sigma=0.30,</w:t>
        <w:br/>
      </w:r>
      <w:r>
        <w:rPr>
          <w:rFonts w:ascii="Consolas" w:hAnsi="Consolas" w:eastAsia="Consolas"/>
          <w:sz w:val="16"/>
        </w:rPr>
        <w:t xml:space="preserve">        y=0.0,</w:t>
        <w:br/>
      </w:r>
      <w:r>
        <w:rPr>
          <w:rFonts w:ascii="Consolas" w:hAnsi="Consolas" w:eastAsia="Consolas"/>
          <w:sz w:val="16"/>
        </w:rPr>
        <w:t xml:space="preserve">        T=0.20,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Floating strike: </w:t>
            </w:r>
            <w:r>
              <w:rPr>
                <w:sz w:val="18"/>
              </w:rPr>
              <w:t>The supplied tests verify that the floating-strike lookback price is invariant to K, because the strike is determined by the path extremum rather than the request strike.</w:t>
            </w:r>
          </w:p>
        </w:tc>
      </w:tr>
    </w:tbl>
    <w:p/>
    <w:p>
      <w:pPr>
        <w:pStyle w:val="Heading1"/>
      </w:pPr>
      <w:r>
        <w:t>10. American and Bermudan exercise</w:t>
      </w:r>
    </w:p>
    <w:p>
      <w:r>
        <w:t>American and Bermudan products use least-squares Monte Carlo. Set regression_degree and num_exercise_points. num_exercise_points must be positive and cannot exceed M. When omitted for a non-European exercise, it defaults to M.</w:t>
      </w:r>
    </w:p>
    <w:p>
      <w:pPr>
        <w:pStyle w:val="Heading2"/>
      </w:pPr>
      <w:r>
        <w:t>10.1 Vanilla American put</w:t>
      </w:r>
    </w:p>
    <w:p>
      <w:pPr>
        <w:pStyle w:val="CodeBlock"/>
      </w:pPr>
      <w:r>
        <w:rPr>
          <w:rFonts w:ascii="Consolas" w:hAnsi="Consolas" w:eastAsia="Consolas"/>
          <w:sz w:val="16"/>
        </w:rPr>
        <w:t>price(</w:t>
        <w:br/>
      </w:r>
      <w:r>
        <w:rPr>
          <w:rFonts w:ascii="Consolas" w:hAnsi="Consolas" w:eastAsia="Consolas"/>
          <w:sz w:val="16"/>
        </w:rPr>
        <w:t xml:space="preserve">        "American",</w:t>
        <w:br/>
      </w:r>
      <w:r>
        <w:rPr>
          <w:rFonts w:ascii="Consolas" w:hAnsi="Consolas" w:eastAsia="Consolas"/>
          <w:sz w:val="16"/>
        </w:rPr>
        <w:t xml:space="preserve">        "Put",</w:t>
        <w:br/>
      </w:r>
      <w:r>
        <w:rPr>
          <w:rFonts w:ascii="Consolas" w:hAnsi="Consolas" w:eastAsia="Consolas"/>
          <w:sz w:val="16"/>
        </w:rPr>
        <w:t xml:space="preserve">        underlying="PathIndependentOption",</w:t>
        <w:br/>
      </w:r>
      <w:r>
        <w:rPr>
          <w:rFonts w:ascii="Consolas" w:hAnsi="Consolas" w:eastAsia="Consolas"/>
          <w:sz w:val="16"/>
        </w:rPr>
        <w:t xml:space="preserve">        wrapper_order="Underlying only",</w:t>
        <w:br/>
      </w:r>
      <w:r>
        <w:rPr>
          <w:rFonts w:ascii="Consolas" w:hAnsi="Consolas" w:eastAsia="Consolas"/>
          <w:sz w:val="16"/>
        </w:rPr>
        <w:t xml:space="preserve">        S0=float(spot),</w:t>
        <w:br/>
      </w:r>
      <w:r>
        <w:rPr>
          <w:rFonts w:ascii="Consolas" w:hAnsi="Consolas" w:eastAsia="Consolas"/>
          <w:sz w:val="16"/>
        </w:rPr>
        <w:t xml:space="preserve">        K=STRIKE,</w:t>
        <w:br/>
      </w:r>
      <w:r>
        <w:rPr>
          <w:rFonts w:ascii="Consolas" w:hAnsi="Consolas" w:eastAsia="Consolas"/>
          <w:sz w:val="16"/>
        </w:rPr>
        <w:t xml:space="preserve">        r=RATE,</w:t>
        <w:br/>
      </w:r>
      <w:r>
        <w:rPr>
          <w:rFonts w:ascii="Consolas" w:hAnsi="Consolas" w:eastAsia="Consolas"/>
          <w:sz w:val="16"/>
        </w:rPr>
        <w:t xml:space="preserve">        sigma=float(volatility),</w:t>
        <w:br/>
      </w:r>
      <w:r>
        <w:rPr>
          <w:rFonts w:ascii="Consolas" w:hAnsi="Consolas" w:eastAsia="Consolas"/>
          <w:sz w:val="16"/>
        </w:rPr>
        <w:t xml:space="preserve">        y=YIELD,</w:t>
        <w:br/>
      </w:r>
      <w:r>
        <w:rPr>
          <w:rFonts w:ascii="Consolas" w:hAnsi="Consolas" w:eastAsia="Consolas"/>
          <w:sz w:val="16"/>
        </w:rPr>
        <w:t xml:space="preserve">        T=float(maturity),</w:t>
        <w:br/>
      </w:r>
      <w:r>
        <w:rPr>
          <w:rFonts w:ascii="Consolas" w:hAnsi="Consolas" w:eastAsia="Consolas"/>
          <w:sz w:val="16"/>
        </w:rPr>
        <w:t xml:space="preserve">        M=int(steps),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num_exercise_points=int(steps),</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10.2 Native American fixed-strike lookback</w:t>
      </w:r>
    </w:p>
    <w:p>
      <w:pPr>
        <w:pStyle w:val="CodeBlock"/>
      </w:pPr>
      <w:r>
        <w:rPr>
          <w:rFonts w:ascii="Consolas" w:hAnsi="Consolas" w:eastAsia="Consolas"/>
          <w:sz w:val="16"/>
        </w:rPr>
        <w:t>price(</w:t>
        <w:br/>
      </w:r>
      <w:r>
        <w:rPr>
          <w:rFonts w:ascii="Consolas" w:hAnsi="Consolas" w:eastAsia="Consolas"/>
          <w:sz w:val="16"/>
        </w:rPr>
        <w:t xml:space="preserve">        "LookBackAmericanOptionFixedStrike",</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wrapper_order="Underlying only",</w:t>
        <w:br/>
      </w:r>
      <w:r>
        <w:rPr>
          <w:rFonts w:ascii="Consolas" w:hAnsi="Consolas" w:eastAsia="Consolas"/>
          <w:sz w:val="16"/>
        </w:rPr>
        <w:t xml:space="preserve">        lookback="LookbacksFixedStrike",</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num_exercise_points=N_STEPS,</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10.3 Bermudan nested product</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wrapper_order="Barrier on Lookback on underlying",</w:t>
        <w:br/>
      </w:r>
      <w:r>
        <w:rPr>
          <w:rFonts w:ascii="Consolas" w:hAnsi="Consolas" w:eastAsia="Consolas"/>
          <w:sz w:val="16"/>
        </w:rPr>
        <w:t xml:space="preserve">        barrier="DoubleKnockOutBarrier",</w:t>
        <w:br/>
      </w:r>
      <w:r>
        <w:rPr>
          <w:rFonts w:ascii="Consolas" w:hAnsi="Consolas" w:eastAsia="Consolas"/>
          <w:sz w:val="16"/>
        </w:rPr>
        <w:t xml:space="preserve">        lookback="LookbacksFixedStrike",</w:t>
        <w:br/>
      </w:r>
      <w:r>
        <w:rPr>
          <w:rFonts w:ascii="Consolas" w:hAnsi="Consolas" w:eastAsia="Consolas"/>
          <w:sz w:val="16"/>
        </w:rPr>
        <w:t xml:space="preserve">        up_barrier=UP_RAW,</w:t>
        <w:br/>
      </w:r>
      <w:r>
        <w:rPr>
          <w:rFonts w:ascii="Consolas" w:hAnsi="Consolas" w:eastAsia="Consolas"/>
          <w:sz w:val="16"/>
        </w:rPr>
        <w:t xml:space="preserve">        down_barrier=DOWN_RAW,</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num_exercise_points=None,</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1"/>
      </w:pPr>
      <w:r>
        <w:t>11. Stochastic volatility and model selection</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Model family</w:t>
            </w:r>
          </w:p>
        </w:tc>
        <w:tc>
          <w:tcPr>
            <w:tcW w:type="dxa" w:w="5083"/>
            <w:vAlign w:val="center"/>
            <w:shd w:fill="1F4E78"/>
          </w:tcPr>
          <w:p>
            <w:r/>
            <w:r>
              <w:rPr>
                <w:b/>
                <w:color w:val="FFFFFF"/>
                <w:sz w:val="18"/>
              </w:rPr>
              <w:t>Accepted values</w:t>
            </w:r>
          </w:p>
        </w:tc>
      </w:tr>
      <w:tr>
        <w:tc>
          <w:tcPr>
            <w:tcW w:type="dxa" w:w="2016"/>
            <w:vAlign w:val="center"/>
          </w:tcPr>
          <w:p>
            <w:r/>
            <w:r>
              <w:rPr>
                <w:b w:val="0"/>
                <w:sz w:val="17"/>
              </w:rPr>
              <w:t>rate_model</w:t>
            </w:r>
          </w:p>
        </w:tc>
        <w:tc>
          <w:tcPr>
            <w:tcW w:type="dxa" w:w="5083"/>
            <w:vAlign w:val="center"/>
          </w:tcPr>
          <w:p>
            <w:r/>
            <w:r>
              <w:rPr>
                <w:b w:val="0"/>
                <w:sz w:val="17"/>
              </w:rPr>
              <w:t>Constant, HoLee, Vasicek, CIR, ExtendedCIR</w:t>
            </w:r>
          </w:p>
        </w:tc>
      </w:tr>
      <w:tr>
        <w:tc>
          <w:tcPr>
            <w:tcW w:type="dxa" w:w="2016"/>
            <w:vAlign w:val="center"/>
          </w:tcPr>
          <w:p>
            <w:r/>
            <w:r>
              <w:rPr>
                <w:b w:val="0"/>
                <w:sz w:val="17"/>
              </w:rPr>
              <w:t>volatility_model</w:t>
            </w:r>
          </w:p>
        </w:tc>
        <w:tc>
          <w:tcPr>
            <w:tcW w:type="dxa" w:w="5083"/>
            <w:vAlign w:val="center"/>
          </w:tcPr>
          <w:p>
            <w:r/>
            <w:r>
              <w:rPr>
                <w:b w:val="0"/>
                <w:sz w:val="17"/>
              </w:rPr>
              <w:t>Constant, Heston, Bates</w:t>
            </w:r>
          </w:p>
        </w:tc>
      </w:tr>
      <w:tr>
        <w:tc>
          <w:tcPr>
            <w:tcW w:type="dxa" w:w="2016"/>
            <w:vAlign w:val="center"/>
          </w:tcPr>
          <w:p>
            <w:r/>
            <w:r>
              <w:rPr>
                <w:b w:val="0"/>
                <w:sz w:val="17"/>
              </w:rPr>
              <w:t>dividend_model</w:t>
            </w:r>
          </w:p>
        </w:tc>
        <w:tc>
          <w:tcPr>
            <w:tcW w:type="dxa" w:w="5083"/>
            <w:vAlign w:val="center"/>
          </w:tcPr>
          <w:p>
            <w:r/>
            <w:r>
              <w:rPr>
                <w:b w:val="0"/>
                <w:sz w:val="17"/>
              </w:rPr>
              <w:t>Constant, Stochastic</w:t>
            </w:r>
          </w:p>
        </w:tc>
      </w:tr>
      <w:tr>
        <w:tc>
          <w:tcPr>
            <w:tcW w:type="dxa" w:w="2016"/>
            <w:vAlign w:val="center"/>
          </w:tcPr>
          <w:p>
            <w:r/>
            <w:r>
              <w:rPr>
                <w:b w:val="0"/>
                <w:sz w:val="17"/>
              </w:rPr>
              <w:t>sentiment_model</w:t>
            </w:r>
          </w:p>
        </w:tc>
        <w:tc>
          <w:tcPr>
            <w:tcW w:type="dxa" w:w="5083"/>
            <w:vAlign w:val="center"/>
          </w:tcPr>
          <w:p>
            <w:r/>
            <w:r>
              <w:rPr>
                <w:b w:val="0"/>
                <w:sz w:val="17"/>
              </w:rPr>
              <w:t>Constant, Stochastic, Jump</w:t>
            </w:r>
          </w:p>
        </w:tc>
      </w:tr>
      <w:tr>
        <w:tc>
          <w:tcPr>
            <w:tcW w:type="dxa" w:w="2016"/>
            <w:vAlign w:val="center"/>
          </w:tcPr>
          <w:p>
            <w:r/>
            <w:r>
              <w:rPr>
                <w:b w:val="0"/>
                <w:sz w:val="17"/>
              </w:rPr>
              <w:t>sentiment_vol_model</w:t>
            </w:r>
          </w:p>
        </w:tc>
        <w:tc>
          <w:tcPr>
            <w:tcW w:type="dxa" w:w="5083"/>
            <w:vAlign w:val="center"/>
          </w:tcPr>
          <w:p>
            <w:r/>
            <w:r>
              <w:rPr>
                <w:b w:val="0"/>
                <w:sz w:val="17"/>
              </w:rPr>
              <w:t>Constant, Stochastic, Jump</w:t>
            </w:r>
          </w:p>
        </w:tc>
      </w:tr>
    </w:tbl>
    <w:p/>
    <w:p>
      <w:pPr>
        <w:pStyle w:val="Heading2"/>
      </w:pPr>
      <w:r>
        <w:t>11.1 Heston American call</w:t>
      </w:r>
    </w:p>
    <w:p>
      <w:pPr>
        <w:pStyle w:val="CodeBlock"/>
      </w:pPr>
      <w:r>
        <w:rPr>
          <w:rFonts w:ascii="Consolas" w:hAnsi="Consolas" w:eastAsia="Consolas"/>
          <w:sz w:val="16"/>
        </w:rPr>
        <w:t>price(</w:t>
        <w:br/>
      </w:r>
      <w:r>
        <w:rPr>
          <w:rFonts w:ascii="Consolas" w:hAnsi="Consolas" w:eastAsia="Consolas"/>
          <w:sz w:val="16"/>
        </w:rPr>
        <w:t xml:space="preserve">        "American",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wrapper_order="Underlying only",</w:t>
        <w:br/>
      </w:r>
      <w:r>
        <w:rPr>
          <w:rFonts w:ascii="Consolas" w:hAnsi="Consolas" w:eastAsia="Consolas"/>
          <w:sz w:val="16"/>
        </w:rPr>
        <w:t xml:space="preserve">        volatility_model="Heston",</w:t>
        <w:br/>
      </w:r>
      <w:r>
        <w:rPr>
          <w:rFonts w:ascii="Consolas" w:hAnsi="Consolas" w:eastAsia="Consolas"/>
          <w:sz w:val="16"/>
        </w:rPr>
        <w:t xml:space="preserve">        gamma=VOL_OF_VOL,</w:t>
        <w:br/>
      </w:r>
      <w:r>
        <w:rPr>
          <w:rFonts w:ascii="Consolas" w:hAnsi="Consolas" w:eastAsia="Consolas"/>
          <w:sz w:val="16"/>
        </w:rPr>
        <w:t xml:space="preserve">        kappa=KAPPA,</w:t>
        <w:br/>
      </w:r>
      <w:r>
        <w:rPr>
          <w:rFonts w:ascii="Consolas" w:hAnsi="Consolas" w:eastAsia="Consolas"/>
          <w:sz w:val="16"/>
        </w:rPr>
        <w:t xml:space="preserve">        theta=THETA_VAR,</w:t>
        <w:br/>
      </w:r>
      <w:r>
        <w:rPr>
          <w:rFonts w:ascii="Consolas" w:hAnsi="Consolas" w:eastAsia="Consolas"/>
          <w:sz w:val="16"/>
        </w:rPr>
        <w:t xml:space="preserve">        correlation2=[</w:t>
        <w:br/>
      </w:r>
      <w:r>
        <w:rPr>
          <w:rFonts w:ascii="Consolas" w:hAnsi="Consolas" w:eastAsia="Consolas"/>
          <w:sz w:val="16"/>
        </w:rPr>
        <w:t xml:space="preserve">            [1.0, RHO],</w:t>
        <w:br/>
      </w:r>
      <w:r>
        <w:rPr>
          <w:rFonts w:ascii="Consolas" w:hAnsi="Consolas" w:eastAsia="Consolas"/>
          <w:sz w:val="16"/>
        </w:rPr>
        <w:t xml:space="preserve">            [RHO, 1.0],</w:t>
        <w:br/>
      </w:r>
      <w:r>
        <w:rPr>
          <w:rFonts w:ascii="Consolas" w:hAnsi="Consolas" w:eastAsia="Consolas"/>
          <w:sz w:val="16"/>
        </w:rPr>
        <w:t xml:space="preserve">        ],</w:t>
        <w:br/>
      </w:r>
      <w:r>
        <w:rPr>
          <w:rFonts w:ascii="Consolas" w:hAnsi="Consolas" w:eastAsia="Consolas"/>
          <w:sz w:val="16"/>
        </w:rPr>
        <w:t xml:space="preserve">        S0=S0,</w:t>
        <w:br/>
      </w:r>
      <w:r>
        <w:rPr>
          <w:rFonts w:ascii="Consolas" w:hAnsi="Consolas" w:eastAsia="Consolas"/>
          <w:sz w:val="16"/>
        </w:rPr>
        <w:t xml:space="preserve">        K=STRIKE,</w:t>
        <w:br/>
      </w:r>
      <w:r>
        <w:rPr>
          <w:rFonts w:ascii="Consolas" w:hAnsi="Consolas" w:eastAsia="Consolas"/>
          <w:sz w:val="16"/>
        </w:rPr>
        <w:t xml:space="preserve">        r=RATE,</w:t>
        <w:br/>
      </w:r>
      <w:r>
        <w:rPr>
          <w:rFonts w:ascii="Consolas" w:hAnsi="Consolas" w:eastAsia="Consolas"/>
          <w:sz w:val="16"/>
        </w:rPr>
        <w:t xml:space="preserve">        sigma=SIGMA0,</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num_exercise_points=N_STEPS,</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Heston parameters: </w:t>
            </w:r>
            <w:r>
              <w:rPr>
                <w:sz w:val="18"/>
              </w:rPr>
              <w:t>gamma is volatility of volatility, kappa is mean reversion, theta is long-run variance, and correlation2 supplies the stock/variance correlation matrix. sigma remains the initial volatility input used by the engine parameter vector.</w:t>
            </w:r>
          </w:p>
        </w:tc>
      </w:tr>
    </w:tbl>
    <w:p/>
    <w:p>
      <w:pPr>
        <w:pStyle w:val="Heading1"/>
      </w:pPr>
      <w:r>
        <w:t>12. Stock jumps</w:t>
      </w:r>
    </w:p>
    <w:p>
      <w:r>
        <w:t>Enable the jump path generator with jumps=true or with a positive Lambda. The stock jump parameters are muJ, sigmaJ and Lambda.</w:t>
      </w:r>
    </w:p>
    <w:p>
      <w:pPr>
        <w:pStyle w:val="Heading2"/>
      </w:pPr>
      <w:r>
        <w:t>12.1 Merton-style jump call</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wrapper_order="Underlying only",</w:t>
        <w:br/>
      </w:r>
      <w:r>
        <w:rPr>
          <w:rFonts w:ascii="Consolas" w:hAnsi="Consolas" w:eastAsia="Consolas"/>
          <w:sz w:val="16"/>
        </w:rPr>
        <w:t xml:space="preserve">        jumps=True,</w:t>
        <w:br/>
      </w:r>
      <w:r>
        <w:rPr>
          <w:rFonts w:ascii="Consolas" w:hAnsi="Consolas" w:eastAsia="Consolas"/>
          <w:sz w:val="16"/>
        </w:rPr>
        <w:t xml:space="preserve">        Lambda=1.0,</w:t>
        <w:br/>
      </w:r>
      <w:r>
        <w:rPr>
          <w:rFonts w:ascii="Consolas" w:hAnsi="Consolas" w:eastAsia="Consolas"/>
          <w:sz w:val="16"/>
        </w:rPr>
        <w:t xml:space="preserve">        muJ=0.05,</w:t>
        <w:br/>
      </w:r>
      <w:r>
        <w:rPr>
          <w:rFonts w:ascii="Consolas" w:hAnsi="Consolas" w:eastAsia="Consolas"/>
          <w:sz w:val="16"/>
        </w:rPr>
        <w:t xml:space="preserve">        sigmaJ=0.20,</w:t>
        <w:br/>
      </w:r>
      <w:r>
        <w:rPr>
          <w:rFonts w:ascii="Consolas" w:hAnsi="Consolas" w:eastAsia="Consolas"/>
          <w:sz w:val="16"/>
        </w:rPr>
        <w:t xml:space="preserve">        S0=100.0,</w:t>
        <w:br/>
      </w:r>
      <w:r>
        <w:rPr>
          <w:rFonts w:ascii="Consolas" w:hAnsi="Consolas" w:eastAsia="Consolas"/>
          <w:sz w:val="16"/>
        </w:rPr>
        <w:t xml:space="preserve">        K=100.0,</w:t>
        <w:br/>
      </w:r>
      <w:r>
        <w:rPr>
          <w:rFonts w:ascii="Consolas" w:hAnsi="Consolas" w:eastAsia="Consolas"/>
          <w:sz w:val="16"/>
        </w:rPr>
        <w:t xml:space="preserve">        r=0.05,</w:t>
        <w:br/>
      </w:r>
      <w:r>
        <w:rPr>
          <w:rFonts w:ascii="Consolas" w:hAnsi="Consolas" w:eastAsia="Consolas"/>
          <w:sz w:val="16"/>
        </w:rPr>
        <w:t xml:space="preserve">        sigma=0.20,</w:t>
        <w:br/>
      </w:r>
      <w:r>
        <w:rPr>
          <w:rFonts w:ascii="Consolas" w:hAnsi="Consolas" w:eastAsia="Consolas"/>
          <w:sz w:val="16"/>
        </w:rPr>
        <w:t xml:space="preserve">        y=0.0,</w:t>
        <w:br/>
      </w:r>
      <w:r>
        <w:rPr>
          <w:rFonts w:ascii="Consolas" w:hAnsi="Consolas" w:eastAsia="Consolas"/>
          <w:sz w:val="16"/>
        </w:rPr>
        <w:t xml:space="preserve">        T=1.0,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12.2 Zero-intensity limit</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wrapper_order="Underlying only",</w:t>
        <w:br/>
      </w:r>
      <w:r>
        <w:rPr>
          <w:rFonts w:ascii="Consolas" w:hAnsi="Consolas" w:eastAsia="Consolas"/>
          <w:sz w:val="16"/>
        </w:rPr>
        <w:t xml:space="preserve">        jumps=True,</w:t>
        <w:br/>
      </w:r>
      <w:r>
        <w:rPr>
          <w:rFonts w:ascii="Consolas" w:hAnsi="Consolas" w:eastAsia="Consolas"/>
          <w:sz w:val="16"/>
        </w:rPr>
        <w:t xml:space="preserve">        Lambda=0.0,</w:t>
        <w:br/>
      </w:r>
      <w:r>
        <w:rPr>
          <w:rFonts w:ascii="Consolas" w:hAnsi="Consolas" w:eastAsia="Consolas"/>
          <w:sz w:val="16"/>
        </w:rPr>
        <w:t xml:space="preserve">        muJ=0.0,</w:t>
        <w:br/>
      </w:r>
      <w:r>
        <w:rPr>
          <w:rFonts w:ascii="Consolas" w:hAnsi="Consolas" w:eastAsia="Consolas"/>
          <w:sz w:val="16"/>
        </w:rPr>
        <w:t xml:space="preserve">        sigmaJ=0.15,</w:t>
        <w:br/>
      </w:r>
      <w:r>
        <w:rPr>
          <w:rFonts w:ascii="Consolas" w:hAnsi="Consolas" w:eastAsia="Consolas"/>
          <w:sz w:val="16"/>
        </w:rPr>
        <w:t xml:space="preserve">        S0=100.0,</w:t>
        <w:br/>
      </w:r>
      <w:r>
        <w:rPr>
          <w:rFonts w:ascii="Consolas" w:hAnsi="Consolas" w:eastAsia="Consolas"/>
          <w:sz w:val="16"/>
        </w:rPr>
        <w:t xml:space="preserve">        K=100.0,</w:t>
        <w:br/>
      </w:r>
      <w:r>
        <w:rPr>
          <w:rFonts w:ascii="Consolas" w:hAnsi="Consolas" w:eastAsia="Consolas"/>
          <w:sz w:val="16"/>
        </w:rPr>
        <w:t xml:space="preserve">        r=0.05,</w:t>
        <w:br/>
      </w:r>
      <w:r>
        <w:rPr>
          <w:rFonts w:ascii="Consolas" w:hAnsi="Consolas" w:eastAsia="Consolas"/>
          <w:sz w:val="16"/>
        </w:rPr>
        <w:t xml:space="preserve">        sigma=0.20,</w:t>
        <w:br/>
      </w:r>
      <w:r>
        <w:rPr>
          <w:rFonts w:ascii="Consolas" w:hAnsi="Consolas" w:eastAsia="Consolas"/>
          <w:sz w:val="16"/>
        </w:rPr>
        <w:t xml:space="preserve">        y=0.0,</w:t>
        <w:br/>
      </w:r>
      <w:r>
        <w:rPr>
          <w:rFonts w:ascii="Consolas" w:hAnsi="Consolas" w:eastAsia="Consolas"/>
          <w:sz w:val="16"/>
        </w:rPr>
        <w:t xml:space="preserve">        T=1.0,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Limit behaviour: </w:t>
            </w:r>
            <w:r>
              <w:rPr>
                <w:sz w:val="18"/>
              </w:rPr>
              <w:t>With Lambda=0, jumps=true still selects the jump path generator, but the simulated pricing limit should agree with plain diffusion within Monte Carlo uncertainty.</w:t>
            </w:r>
          </w:p>
        </w:tc>
      </w:tr>
    </w:tbl>
    <w:p/>
    <w:p>
      <w:pPr>
        <w:pStyle w:val="Heading1"/>
      </w:pPr>
      <w:r>
        <w:t>13. Importance sampling</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Accepted method</w:t>
            </w:r>
          </w:p>
        </w:tc>
        <w:tc>
          <w:tcPr>
            <w:tcW w:type="dxa" w:w="5083"/>
            <w:vAlign w:val="center"/>
            <w:shd w:fill="1F4E78"/>
          </w:tcPr>
          <w:p>
            <w:r/>
            <w:r>
              <w:rPr>
                <w:b/>
                <w:color w:val="FFFFFF"/>
                <w:sz w:val="18"/>
              </w:rPr>
              <w:t>Intended use</w:t>
            </w:r>
          </w:p>
        </w:tc>
      </w:tr>
      <w:tr>
        <w:tc>
          <w:tcPr>
            <w:tcW w:type="dxa" w:w="2016"/>
            <w:vAlign w:val="center"/>
          </w:tcPr>
          <w:p>
            <w:r/>
            <w:r>
              <w:rPr>
                <w:b w:val="0"/>
                <w:sz w:val="17"/>
              </w:rPr>
              <w:t>ChangeOfMean</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ChangeOfMean2</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DownAndInBarrier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UpAndInBarrier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DoubleKnockInBarrier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UpAndOutBarrier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DownAndOutBarrier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UpKnockInDownKnockOutBarrier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UpKnockOutDownKnockInBarrier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DoubleKnockOutBarrier</w:t>
            </w:r>
          </w:p>
        </w:tc>
        <w:tc>
          <w:tcPr>
            <w:tcW w:type="dxa" w:w="5083"/>
            <w:vAlign w:val="center"/>
          </w:tcPr>
          <w:p>
            <w:r/>
            <w:r>
              <w:rPr>
                <w:b w:val="0"/>
                <w:sz w:val="17"/>
              </w:rPr>
              <w:t>General or product-specific method; matching product compatibility is validated by price().</w:t>
            </w:r>
          </w:p>
        </w:tc>
      </w:tr>
      <w:tr>
        <w:tc>
          <w:tcPr>
            <w:tcW w:type="dxa" w:w="2016"/>
            <w:vAlign w:val="center"/>
          </w:tcPr>
          <w:p>
            <w:r/>
            <w:r>
              <w:rPr>
                <w:b w:val="0"/>
                <w:sz w:val="17"/>
              </w:rPr>
              <w:t>ArithmeticAsian</w:t>
            </w:r>
          </w:p>
        </w:tc>
        <w:tc>
          <w:tcPr>
            <w:tcW w:type="dxa" w:w="5083"/>
            <w:vAlign w:val="center"/>
          </w:tcPr>
          <w:p>
            <w:r/>
            <w:r>
              <w:rPr>
                <w:b w:val="0"/>
                <w:sz w:val="17"/>
              </w:rPr>
              <w:t>General or product-specific method; matching product compatibility is validated by price().</w:t>
            </w:r>
          </w:p>
        </w:tc>
      </w:tr>
    </w:tbl>
    <w:p/>
    <w:p>
      <w:pPr>
        <w:pStyle w:val="Heading2"/>
      </w:pPr>
      <w:r>
        <w:t>13.1 Change of mean for an out-of-the-money call</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wrapper_order="Underlying only",</w:t>
        <w:br/>
      </w:r>
      <w:r>
        <w:rPr>
          <w:rFonts w:ascii="Consolas" w:hAnsi="Consolas" w:eastAsia="Consolas"/>
          <w:sz w:val="16"/>
        </w:rPr>
        <w:t xml:space="preserve">        barrier=None,</w:t>
        <w:br/>
      </w:r>
      <w:r>
        <w:rPr>
          <w:rFonts w:ascii="Consolas" w:hAnsi="Consolas" w:eastAsia="Consolas"/>
          <w:sz w:val="16"/>
        </w:rPr>
        <w:t xml:space="preserve">        up_barrier=1.0e12,</w:t>
        <w:br/>
      </w:r>
      <w:r>
        <w:rPr>
          <w:rFonts w:ascii="Consolas" w:hAnsi="Consolas" w:eastAsia="Consolas"/>
          <w:sz w:val="16"/>
        </w:rPr>
        <w:t xml:space="preserve">        down_barrier=1.0e-8,</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importance_sampling="ChangeOfMean2",</w:t>
        <w:br/>
      </w:r>
      <w:r>
        <w:rPr>
          <w:rFonts w:ascii="Consolas" w:hAnsi="Consolas" w:eastAsia="Consolas"/>
          <w:sz w:val="16"/>
        </w:rPr>
        <w:t xml:space="preserve">        importance_sampling_mean_tweak=0.0,</w:t>
        <w:br/>
      </w:r>
      <w:r>
        <w:rPr>
          <w:rFonts w:ascii="Consolas" w:hAnsi="Consolas" w:eastAsia="Consolas"/>
          <w:sz w:val="16"/>
        </w:rPr>
        <w:t xml:space="preserve">        S0=100.0,</w:t>
        <w:br/>
      </w:r>
      <w:r>
        <w:rPr>
          <w:rFonts w:ascii="Consolas" w:hAnsi="Consolas" w:eastAsia="Consolas"/>
          <w:sz w:val="16"/>
        </w:rPr>
        <w:t xml:space="preserve">        K=120.0,</w:t>
        <w:br/>
      </w:r>
      <w:r>
        <w:rPr>
          <w:rFonts w:ascii="Consolas" w:hAnsi="Consolas" w:eastAsia="Consolas"/>
          <w:sz w:val="16"/>
        </w:rPr>
        <w:t xml:space="preserve">        r=0.10,</w:t>
        <w:br/>
      </w:r>
      <w:r>
        <w:rPr>
          <w:rFonts w:ascii="Consolas" w:hAnsi="Consolas" w:eastAsia="Consolas"/>
          <w:sz w:val="16"/>
        </w:rPr>
        <w:t xml:space="preserve">        sigma=0.20,</w:t>
        <w:br/>
      </w:r>
      <w:r>
        <w:rPr>
          <w:rFonts w:ascii="Consolas" w:hAnsi="Consolas" w:eastAsia="Consolas"/>
          <w:sz w:val="16"/>
        </w:rPr>
        <w:t xml:space="preserve">        y=0.0,</w:t>
        <w:br/>
      </w:r>
      <w:r>
        <w:rPr>
          <w:rFonts w:ascii="Consolas" w:hAnsi="Consolas" w:eastAsia="Consolas"/>
          <w:sz w:val="16"/>
        </w:rPr>
        <w:t xml:space="preserve">        T=0.20,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13.2 Arithmetic Asian importance sampling</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underlying="PathArithmeticAsianOption",</w:t>
        <w:br/>
      </w:r>
      <w:r>
        <w:rPr>
          <w:rFonts w:ascii="Consolas" w:hAnsi="Consolas" w:eastAsia="Consolas"/>
          <w:sz w:val="16"/>
        </w:rPr>
        <w:t xml:space="preserve">        wrapper_order="Underlying only",</w:t>
        <w:br/>
      </w:r>
      <w:r>
        <w:rPr>
          <w:rFonts w:ascii="Consolas" w:hAnsi="Consolas" w:eastAsia="Consolas"/>
          <w:sz w:val="16"/>
        </w:rPr>
        <w:t xml:space="preserve">        barrier=None,</w:t>
        <w:br/>
      </w:r>
      <w:r>
        <w:rPr>
          <w:rFonts w:ascii="Consolas" w:hAnsi="Consolas" w:eastAsia="Consolas"/>
          <w:sz w:val="16"/>
        </w:rPr>
        <w:t xml:space="preserve">        up_barrier=1.0e12,</w:t>
        <w:br/>
      </w:r>
      <w:r>
        <w:rPr>
          <w:rFonts w:ascii="Consolas" w:hAnsi="Consolas" w:eastAsia="Consolas"/>
          <w:sz w:val="16"/>
        </w:rPr>
        <w:t xml:space="preserve">        down_barrier=1.0e-8,</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importance_sampling="ArithmeticAsian",</w:t>
        <w:br/>
      </w:r>
      <w:r>
        <w:rPr>
          <w:rFonts w:ascii="Consolas" w:hAnsi="Consolas" w:eastAsia="Consolas"/>
          <w:sz w:val="16"/>
        </w:rPr>
        <w:t xml:space="preserve">        importance_sampling_mean_tweak=0.0,</w:t>
        <w:br/>
      </w:r>
      <w:r>
        <w:rPr>
          <w:rFonts w:ascii="Consolas" w:hAnsi="Consolas" w:eastAsia="Consolas"/>
          <w:sz w:val="16"/>
        </w:rPr>
        <w:t xml:space="preserve">        S0=100.0,</w:t>
        <w:br/>
      </w:r>
      <w:r>
        <w:rPr>
          <w:rFonts w:ascii="Consolas" w:hAnsi="Consolas" w:eastAsia="Consolas"/>
          <w:sz w:val="16"/>
        </w:rPr>
        <w:t xml:space="preserve">        K=115.0,</w:t>
        <w:br/>
      </w:r>
      <w:r>
        <w:rPr>
          <w:rFonts w:ascii="Consolas" w:hAnsi="Consolas" w:eastAsia="Consolas"/>
          <w:sz w:val="16"/>
        </w:rPr>
        <w:t xml:space="preserve">        r=0.10,</w:t>
        <w:br/>
      </w:r>
      <w:r>
        <w:rPr>
          <w:rFonts w:ascii="Consolas" w:hAnsi="Consolas" w:eastAsia="Consolas"/>
          <w:sz w:val="16"/>
        </w:rPr>
        <w:t xml:space="preserve">        sigma=0.20,</w:t>
        <w:br/>
      </w:r>
      <w:r>
        <w:rPr>
          <w:rFonts w:ascii="Consolas" w:hAnsi="Consolas" w:eastAsia="Consolas"/>
          <w:sz w:val="16"/>
        </w:rPr>
        <w:t xml:space="preserve">        y=0.0,</w:t>
        <w:br/>
      </w:r>
      <w:r>
        <w:rPr>
          <w:rFonts w:ascii="Consolas" w:hAnsi="Consolas" w:eastAsia="Consolas"/>
          <w:sz w:val="16"/>
        </w:rPr>
        <w:t xml:space="preserve">        T=0.20,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13.3 Barrier-specific importance sampling</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wrapper_order="Barrier on underlying",</w:t>
        <w:br/>
      </w:r>
      <w:r>
        <w:rPr>
          <w:rFonts w:ascii="Consolas" w:hAnsi="Consolas" w:eastAsia="Consolas"/>
          <w:sz w:val="16"/>
        </w:rPr>
        <w:t xml:space="preserve">        barrier="UpKnockOutDownKnockInBarrier",</w:t>
        <w:br/>
      </w:r>
      <w:r>
        <w:rPr>
          <w:rFonts w:ascii="Consolas" w:hAnsi="Consolas" w:eastAsia="Consolas"/>
          <w:sz w:val="16"/>
        </w:rPr>
        <w:t xml:space="preserve">        up_barrier=115.0,</w:t>
        <w:br/>
      </w:r>
      <w:r>
        <w:rPr>
          <w:rFonts w:ascii="Consolas" w:hAnsi="Consolas" w:eastAsia="Consolas"/>
          <w:sz w:val="16"/>
        </w:rPr>
        <w:t xml:space="preserve">        down_barrier=85.0,</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importance_sampling="UpKnockOutDownKnockInBarrier",</w:t>
        <w:br/>
      </w:r>
      <w:r>
        <w:rPr>
          <w:rFonts w:ascii="Consolas" w:hAnsi="Consolas" w:eastAsia="Consolas"/>
          <w:sz w:val="16"/>
        </w:rPr>
        <w:t xml:space="preserve">        importance_sampling_mean_tweak=0.0,</w:t>
        <w:br/>
      </w:r>
      <w:r>
        <w:rPr>
          <w:rFonts w:ascii="Consolas" w:hAnsi="Consolas" w:eastAsia="Consolas"/>
          <w:sz w:val="16"/>
        </w:rPr>
        <w:t xml:space="preserve">        S0=100.0,</w:t>
        <w:br/>
      </w:r>
      <w:r>
        <w:rPr>
          <w:rFonts w:ascii="Consolas" w:hAnsi="Consolas" w:eastAsia="Consolas"/>
          <w:sz w:val="16"/>
        </w:rPr>
        <w:t xml:space="preserve">        K=100.0,</w:t>
        <w:br/>
      </w:r>
      <w:r>
        <w:rPr>
          <w:rFonts w:ascii="Consolas" w:hAnsi="Consolas" w:eastAsia="Consolas"/>
          <w:sz w:val="16"/>
        </w:rPr>
        <w:t xml:space="preserve">        r=0.10,</w:t>
        <w:br/>
      </w:r>
      <w:r>
        <w:rPr>
          <w:rFonts w:ascii="Consolas" w:hAnsi="Consolas" w:eastAsia="Consolas"/>
          <w:sz w:val="16"/>
        </w:rPr>
        <w:t xml:space="preserve">        sigma=0.20,</w:t>
        <w:br/>
      </w:r>
      <w:r>
        <w:rPr>
          <w:rFonts w:ascii="Consolas" w:hAnsi="Consolas" w:eastAsia="Consolas"/>
          <w:sz w:val="16"/>
        </w:rPr>
        <w:t xml:space="preserve">        y=0.0,</w:t>
        <w:br/>
      </w:r>
      <w:r>
        <w:rPr>
          <w:rFonts w:ascii="Consolas" w:hAnsi="Consolas" w:eastAsia="Consolas"/>
          <w:sz w:val="16"/>
        </w:rPr>
        <w:t xml:space="preserve">        T=0.20,</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Compatibility: </w:t>
            </w:r>
            <w:r>
              <w:rPr>
                <w:sz w:val="18"/>
              </w:rPr>
              <w:t>Barrier-specific methods require the matching barrier class and a barrier wrapper. ArithmeticAsian requires an arithmetic-Asian underlying. Incompatible combinations return HTTP 422.</w:t>
            </w:r>
          </w:p>
        </w:tc>
      </w:tr>
    </w:tbl>
    <w:p/>
    <w:p>
      <w:pPr>
        <w:pStyle w:val="Heading1"/>
      </w:pPr>
      <w:r>
        <w:t>14. Nested wrapper compositions</w:t>
      </w:r>
    </w:p>
    <w:p>
      <w:r>
        <w:t>wrapper_order is parsed from left to right as a composition description. The engine wires wrappers from the innermost component outward. The order is economically meaningful: "Lookback on Barrier on underlying" is generally distinct from "Barrier on Lookback on underlying".</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Example</w:t>
            </w:r>
          </w:p>
        </w:tc>
        <w:tc>
          <w:tcPr>
            <w:tcW w:type="dxa" w:w="5083"/>
            <w:vAlign w:val="center"/>
            <w:shd w:fill="1F4E78"/>
          </w:tcPr>
          <w:p>
            <w:r/>
            <w:r>
              <w:rPr>
                <w:b/>
                <w:color w:val="FFFFFF"/>
                <w:sz w:val="18"/>
              </w:rPr>
              <w:t>Interpretation</w:t>
            </w:r>
          </w:p>
        </w:tc>
      </w:tr>
      <w:tr>
        <w:tc>
          <w:tcPr>
            <w:tcW w:type="dxa" w:w="2016"/>
            <w:vAlign w:val="center"/>
          </w:tcPr>
          <w:p>
            <w:r/>
            <w:r>
              <w:rPr>
                <w:b w:val="0"/>
                <w:sz w:val="17"/>
              </w:rPr>
              <w:t>Underlying only</w:t>
            </w:r>
          </w:p>
        </w:tc>
        <w:tc>
          <w:tcPr>
            <w:tcW w:type="dxa" w:w="5083"/>
            <w:vAlign w:val="center"/>
          </w:tcPr>
          <w:p>
            <w:r/>
            <w:r>
              <w:rPr>
                <w:b w:val="0"/>
                <w:sz w:val="17"/>
              </w:rPr>
              <w:t>No wrapper.</w:t>
            </w:r>
          </w:p>
        </w:tc>
      </w:tr>
      <w:tr>
        <w:tc>
          <w:tcPr>
            <w:tcW w:type="dxa" w:w="2016"/>
            <w:vAlign w:val="center"/>
          </w:tcPr>
          <w:p>
            <w:r/>
            <w:r>
              <w:rPr>
                <w:b w:val="0"/>
                <w:sz w:val="17"/>
              </w:rPr>
              <w:t>Lookback on underlying</w:t>
            </w:r>
          </w:p>
        </w:tc>
        <w:tc>
          <w:tcPr>
            <w:tcW w:type="dxa" w:w="5083"/>
            <w:vAlign w:val="center"/>
          </w:tcPr>
          <w:p>
            <w:r/>
            <w:r>
              <w:rPr>
                <w:b w:val="0"/>
                <w:sz w:val="17"/>
              </w:rPr>
              <w:t>Lookback applied to the base payoff.</w:t>
            </w:r>
          </w:p>
        </w:tc>
      </w:tr>
      <w:tr>
        <w:tc>
          <w:tcPr>
            <w:tcW w:type="dxa" w:w="2016"/>
            <w:vAlign w:val="center"/>
          </w:tcPr>
          <w:p>
            <w:r/>
            <w:r>
              <w:rPr>
                <w:b w:val="0"/>
                <w:sz w:val="17"/>
              </w:rPr>
              <w:t>Barrier on underlying</w:t>
            </w:r>
          </w:p>
        </w:tc>
        <w:tc>
          <w:tcPr>
            <w:tcW w:type="dxa" w:w="5083"/>
            <w:vAlign w:val="center"/>
          </w:tcPr>
          <w:p>
            <w:r/>
            <w:r>
              <w:rPr>
                <w:b w:val="0"/>
                <w:sz w:val="17"/>
              </w:rPr>
              <w:t>Barrier applied to the base payoff.</w:t>
            </w:r>
          </w:p>
        </w:tc>
      </w:tr>
      <w:tr>
        <w:tc>
          <w:tcPr>
            <w:tcW w:type="dxa" w:w="2016"/>
            <w:vAlign w:val="center"/>
          </w:tcPr>
          <w:p>
            <w:r/>
            <w:r>
              <w:rPr>
                <w:b w:val="0"/>
                <w:sz w:val="17"/>
              </w:rPr>
              <w:t>Lookback on Barrier on underlying</w:t>
            </w:r>
          </w:p>
        </w:tc>
        <w:tc>
          <w:tcPr>
            <w:tcW w:type="dxa" w:w="5083"/>
            <w:vAlign w:val="center"/>
          </w:tcPr>
          <w:p>
            <w:r/>
            <w:r>
              <w:rPr>
                <w:b w:val="0"/>
                <w:sz w:val="17"/>
              </w:rPr>
              <w:t>Lookback outside a barrier-wrapped underlying.</w:t>
            </w:r>
          </w:p>
        </w:tc>
      </w:tr>
      <w:tr>
        <w:tc>
          <w:tcPr>
            <w:tcW w:type="dxa" w:w="2016"/>
            <w:vAlign w:val="center"/>
          </w:tcPr>
          <w:p>
            <w:r/>
            <w:r>
              <w:rPr>
                <w:b w:val="0"/>
                <w:sz w:val="17"/>
              </w:rPr>
              <w:t>Barrier on Lookback on underlying</w:t>
            </w:r>
          </w:p>
        </w:tc>
        <w:tc>
          <w:tcPr>
            <w:tcW w:type="dxa" w:w="5083"/>
            <w:vAlign w:val="center"/>
          </w:tcPr>
          <w:p>
            <w:r/>
            <w:r>
              <w:rPr>
                <w:b w:val="0"/>
                <w:sz w:val="17"/>
              </w:rPr>
              <w:t>Barrier outside a lookback-wrapped underlying.</w:t>
            </w:r>
          </w:p>
        </w:tc>
      </w:tr>
    </w:tbl>
    <w:p/>
    <w:p>
      <w:pPr>
        <w:pStyle w:val="Heading2"/>
      </w:pPr>
      <w:r>
        <w:t>14.1 Lookback on barrier</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payoff,</w:t>
        <w:br/>
      </w:r>
      <w:r>
        <w:rPr>
          <w:rFonts w:ascii="Consolas" w:hAnsi="Consolas" w:eastAsia="Consolas"/>
          <w:sz w:val="16"/>
        </w:rPr>
        <w:t xml:space="preserve">        underlying="PathIndependentOption",</w:t>
        <w:br/>
      </w:r>
      <w:r>
        <w:rPr>
          <w:rFonts w:ascii="Consolas" w:hAnsi="Consolas" w:eastAsia="Consolas"/>
          <w:sz w:val="16"/>
        </w:rPr>
        <w:t xml:space="preserve">        wrapper_order="Lookback on Barrier on underlying",</w:t>
        <w:br/>
      </w:r>
      <w:r>
        <w:rPr>
          <w:rFonts w:ascii="Consolas" w:hAnsi="Consolas" w:eastAsia="Consolas"/>
          <w:sz w:val="16"/>
        </w:rPr>
        <w:t xml:space="preserve">        barrier="DoubleKnockOutBarrier",</w:t>
        <w:br/>
      </w:r>
      <w:r>
        <w:rPr>
          <w:rFonts w:ascii="Consolas" w:hAnsi="Consolas" w:eastAsia="Consolas"/>
          <w:sz w:val="16"/>
        </w:rPr>
        <w:t xml:space="preserve">        lookback=lookback,</w:t>
        <w:br/>
      </w:r>
      <w:r>
        <w:rPr>
          <w:rFonts w:ascii="Consolas" w:hAnsi="Consolas" w:eastAsia="Consolas"/>
          <w:sz w:val="16"/>
        </w:rPr>
        <w:t xml:space="preserve">        up_barrier=1.0e12,</w:t>
        <w:br/>
      </w:r>
      <w:r>
        <w:rPr>
          <w:rFonts w:ascii="Consolas" w:hAnsi="Consolas" w:eastAsia="Consolas"/>
          <w:sz w:val="16"/>
        </w:rPr>
        <w:t xml:space="preserve">        down_barrier=0.0,</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num_exercise_points=None,</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14.2 Barrier on lookback</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underlying="PathIndependentOption",</w:t>
        <w:br/>
      </w:r>
      <w:r>
        <w:rPr>
          <w:rFonts w:ascii="Consolas" w:hAnsi="Consolas" w:eastAsia="Consolas"/>
          <w:sz w:val="16"/>
        </w:rPr>
        <w:t xml:space="preserve">        wrapper_order="Barrier on Lookback on underlying",</w:t>
        <w:br/>
      </w:r>
      <w:r>
        <w:rPr>
          <w:rFonts w:ascii="Consolas" w:hAnsi="Consolas" w:eastAsia="Consolas"/>
          <w:sz w:val="16"/>
        </w:rPr>
        <w:t xml:space="preserve">        barrier="DoubleKnockOutBarrier",</w:t>
        <w:br/>
      </w:r>
      <w:r>
        <w:rPr>
          <w:rFonts w:ascii="Consolas" w:hAnsi="Consolas" w:eastAsia="Consolas"/>
          <w:sz w:val="16"/>
        </w:rPr>
        <w:t xml:space="preserve">        lookback="LookbacksFixedStrike",</w:t>
        <w:br/>
      </w:r>
      <w:r>
        <w:rPr>
          <w:rFonts w:ascii="Consolas" w:hAnsi="Consolas" w:eastAsia="Consolas"/>
          <w:sz w:val="16"/>
        </w:rPr>
        <w:t xml:space="preserve">        up_barrier=UP_RAW,</w:t>
        <w:br/>
      </w:r>
      <w:r>
        <w:rPr>
          <w:rFonts w:ascii="Consolas" w:hAnsi="Consolas" w:eastAsia="Consolas"/>
          <w:sz w:val="16"/>
        </w:rPr>
        <w:t xml:space="preserve">        down_barrier=DOWN_RAW,</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num_exercise_points=None,</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2"/>
      </w:pPr>
      <w:r>
        <w:t>14.3 Asian nested composition</w:t>
      </w:r>
    </w:p>
    <w:p>
      <w:pPr>
        <w:pStyle w:val="CodeBlock"/>
      </w:pPr>
      <w:r>
        <w:rPr>
          <w:rFonts w:ascii="Consolas" w:hAnsi="Consolas" w:eastAsia="Consolas"/>
          <w:sz w:val="16"/>
        </w:rPr>
        <w:t>price(</w:t>
        <w:br/>
      </w:r>
      <w:r>
        <w:rPr>
          <w:rFonts w:ascii="Consolas" w:hAnsi="Consolas" w:eastAsia="Consolas"/>
          <w:sz w:val="16"/>
        </w:rPr>
        <w:t xml:space="preserve">        "European",</w:t>
        <w:br/>
      </w:r>
      <w:r>
        <w:rPr>
          <w:rFonts w:ascii="Consolas" w:hAnsi="Consolas" w:eastAsia="Consolas"/>
          <w:sz w:val="16"/>
        </w:rPr>
        <w:t xml:space="preserve">        "Call",</w:t>
        <w:br/>
      </w:r>
      <w:r>
        <w:rPr>
          <w:rFonts w:ascii="Consolas" w:hAnsi="Consolas" w:eastAsia="Consolas"/>
          <w:sz w:val="16"/>
        </w:rPr>
        <w:t xml:space="preserve">        underlying="PathArithmeticAsianOption",</w:t>
        <w:br/>
      </w:r>
      <w:r>
        <w:rPr>
          <w:rFonts w:ascii="Consolas" w:hAnsi="Consolas" w:eastAsia="Consolas"/>
          <w:sz w:val="16"/>
        </w:rPr>
        <w:t xml:space="preserve">        wrapper_order="Lookback on Barrier on underlying",</w:t>
        <w:br/>
      </w:r>
      <w:r>
        <w:rPr>
          <w:rFonts w:ascii="Consolas" w:hAnsi="Consolas" w:eastAsia="Consolas"/>
          <w:sz w:val="16"/>
        </w:rPr>
        <w:t xml:space="preserve">        barrier="DoubleKnockOutBarrier",</w:t>
        <w:br/>
      </w:r>
      <w:r>
        <w:rPr>
          <w:rFonts w:ascii="Consolas" w:hAnsi="Consolas" w:eastAsia="Consolas"/>
          <w:sz w:val="16"/>
        </w:rPr>
        <w:t xml:space="preserve">        lookback="LookbacksFixedStrike",</w:t>
        <w:br/>
      </w:r>
      <w:r>
        <w:rPr>
          <w:rFonts w:ascii="Consolas" w:hAnsi="Consolas" w:eastAsia="Consolas"/>
          <w:sz w:val="16"/>
        </w:rPr>
        <w:t xml:space="preserve">        up_barrier=UP_ASIAN,</w:t>
        <w:br/>
      </w:r>
      <w:r>
        <w:rPr>
          <w:rFonts w:ascii="Consolas" w:hAnsi="Consolas" w:eastAsia="Consolas"/>
          <w:sz w:val="16"/>
        </w:rPr>
        <w:t xml:space="preserve">        down_barrier=DOWN_ASIAN,</w:t>
        <w:br/>
      </w:r>
      <w:r>
        <w:rPr>
          <w:rFonts w:ascii="Consolas" w:hAnsi="Consolas" w:eastAsia="Consolas"/>
          <w:sz w:val="16"/>
        </w:rPr>
        <w:t xml:space="preserve">        rebate_in=0.0,</w:t>
        <w:br/>
      </w:r>
      <w:r>
        <w:rPr>
          <w:rFonts w:ascii="Consolas" w:hAnsi="Consolas" w:eastAsia="Consolas"/>
          <w:sz w:val="16"/>
        </w:rPr>
        <w:t xml:space="preserve">        rebate_out=0.0,</w:t>
        <w:br/>
      </w:r>
      <w:r>
        <w:rPr>
          <w:rFonts w:ascii="Consolas" w:hAnsi="Consolas" w:eastAsia="Consolas"/>
          <w:sz w:val="16"/>
        </w:rPr>
        <w:t xml:space="preserve">        S0=S0,</w:t>
        <w:br/>
      </w:r>
      <w:r>
        <w:rPr>
          <w:rFonts w:ascii="Consolas" w:hAnsi="Consolas" w:eastAsia="Consolas"/>
          <w:sz w:val="16"/>
        </w:rPr>
        <w:t xml:space="preserve">        K=K,</w:t>
        <w:br/>
      </w:r>
      <w:r>
        <w:rPr>
          <w:rFonts w:ascii="Consolas" w:hAnsi="Consolas" w:eastAsia="Consolas"/>
          <w:sz w:val="16"/>
        </w:rPr>
        <w:t xml:space="preserve">        r=RATE,</w:t>
        <w:br/>
      </w:r>
      <w:r>
        <w:rPr>
          <w:rFonts w:ascii="Consolas" w:hAnsi="Consolas" w:eastAsia="Consolas"/>
          <w:sz w:val="16"/>
        </w:rPr>
        <w:t xml:space="preserve">        sigma=SIGMA,</w:t>
        <w:br/>
      </w:r>
      <w:r>
        <w:rPr>
          <w:rFonts w:ascii="Consolas" w:hAnsi="Consolas" w:eastAsia="Consolas"/>
          <w:sz w:val="16"/>
        </w:rPr>
        <w:t xml:space="preserve">        y=YIELD,</w:t>
        <w:br/>
      </w:r>
      <w:r>
        <w:rPr>
          <w:rFonts w:ascii="Consolas" w:hAnsi="Consolas" w:eastAsia="Consolas"/>
          <w:sz w:val="16"/>
        </w:rPr>
        <w:t xml:space="preserve">        T=MATURITY,</w:t>
        <w:br/>
      </w:r>
      <w:r>
        <w:rPr>
          <w:rFonts w:ascii="Consolas" w:hAnsi="Consolas" w:eastAsia="Consolas"/>
          <w:sz w:val="16"/>
        </w:rPr>
        <w:t xml:space="preserve">        M=N_STEPS,</w:t>
        <w:br/>
      </w:r>
      <w:r>
        <w:rPr>
          <w:rFonts w:ascii="Consolas" w:hAnsi="Consolas" w:eastAsia="Consolas"/>
          <w:sz w:val="16"/>
        </w:rPr>
        <w:t xml:space="preserve">        N=N_PATHS,</w:t>
        <w:br/>
      </w:r>
      <w:r>
        <w:rPr>
          <w:rFonts w:ascii="Consolas" w:hAnsi="Consolas" w:eastAsia="Consolas"/>
          <w:sz w:val="16"/>
        </w:rPr>
        <w:t xml:space="preserve">        seed=SEED,</w:t>
        <w:br/>
      </w:r>
      <w:r>
        <w:rPr>
          <w:rFonts w:ascii="Consolas" w:hAnsi="Consolas" w:eastAsia="Consolas"/>
          <w:sz w:val="16"/>
        </w:rPr>
        <w:t xml:space="preserve">        regression_degree=REGRESSION_DEGREE,</w:t>
        <w:br/>
      </w:r>
      <w:r>
        <w:rPr>
          <w:rFonts w:ascii="Consolas" w:hAnsi="Consolas" w:eastAsia="Consolas"/>
          <w:sz w:val="16"/>
        </w:rPr>
        <w:t xml:space="preserve">        num_exercise_points=None,</w:t>
        <w:br/>
      </w:r>
      <w:r>
        <w:rPr>
          <w:rFonts w:ascii="Consolas" w:hAnsi="Consolas" w:eastAsia="Consolas"/>
          <w:sz w:val="16"/>
        </w:rPr>
        <w:t xml:space="preserve">        greeks=False,</w:t>
        <w:br/>
      </w:r>
      <w:r>
        <w:rPr>
          <w:rFonts w:ascii="Consolas" w:hAnsi="Consolas" w:eastAsia="Consolas"/>
          <w:sz w:val="16"/>
        </w:rPr>
        <w:t xml:space="preserve">        retained_variables=False,</w:t>
        <w:br/>
      </w:r>
      <w:r>
        <w:rPr>
          <w:rFonts w:ascii="Consolas" w:hAnsi="Consolas" w:eastAsia="Consolas"/>
          <w:sz w:val="16"/>
        </w:rPr>
        <w:t xml:space="preserve">    )</w:t>
        <w:br/>
      </w:r>
    </w:p>
    <w:p>
      <w:pPr>
        <w:pStyle w:val="Heading1"/>
      </w:pPr>
      <w:r>
        <w:t>15. Random-number and variance-reduction controls</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Field</w:t>
            </w:r>
          </w:p>
        </w:tc>
        <w:tc>
          <w:tcPr>
            <w:tcW w:type="dxa" w:w="5083"/>
            <w:vAlign w:val="center"/>
            <w:shd w:fill="1F4E78"/>
          </w:tcPr>
          <w:p>
            <w:r/>
            <w:r>
              <w:rPr>
                <w:b/>
                <w:color w:val="FFFFFF"/>
                <w:sz w:val="18"/>
              </w:rPr>
              <w:t>Accepted values / rule</w:t>
            </w:r>
          </w:p>
        </w:tc>
      </w:tr>
      <w:tr>
        <w:tc>
          <w:tcPr>
            <w:tcW w:type="dxa" w:w="2016"/>
            <w:vAlign w:val="center"/>
          </w:tcPr>
          <w:p>
            <w:r/>
            <w:r>
              <w:rPr>
                <w:b w:val="0"/>
                <w:sz w:val="17"/>
              </w:rPr>
              <w:t>random_generator</w:t>
            </w:r>
          </w:p>
        </w:tc>
        <w:tc>
          <w:tcPr>
            <w:tcW w:type="dxa" w:w="5083"/>
            <w:vAlign w:val="center"/>
          </w:tcPr>
          <w:p>
            <w:r/>
            <w:r>
              <w:rPr>
                <w:b w:val="0"/>
                <w:sz w:val="17"/>
              </w:rPr>
              <w:t>Standard, Quasi</w:t>
            </w:r>
          </w:p>
        </w:tc>
      </w:tr>
      <w:tr>
        <w:tc>
          <w:tcPr>
            <w:tcW w:type="dxa" w:w="2016"/>
            <w:vAlign w:val="center"/>
          </w:tcPr>
          <w:p>
            <w:r/>
            <w:r>
              <w:rPr>
                <w:b w:val="0"/>
                <w:sz w:val="17"/>
              </w:rPr>
              <w:t>sampling</w:t>
            </w:r>
          </w:p>
        </w:tc>
        <w:tc>
          <w:tcPr>
            <w:tcW w:type="dxa" w:w="5083"/>
            <w:vAlign w:val="center"/>
          </w:tcPr>
          <w:p>
            <w:r/>
            <w:r>
              <w:rPr>
                <w:b w:val="0"/>
                <w:sz w:val="17"/>
              </w:rPr>
              <w:t>None, LatinHypercube, Stratification</w:t>
            </w:r>
          </w:p>
        </w:tc>
      </w:tr>
      <w:tr>
        <w:tc>
          <w:tcPr>
            <w:tcW w:type="dxa" w:w="2016"/>
            <w:vAlign w:val="center"/>
          </w:tcPr>
          <w:p>
            <w:r/>
            <w:r>
              <w:rPr>
                <w:b w:val="0"/>
                <w:sz w:val="17"/>
              </w:rPr>
              <w:t>wiener</w:t>
            </w:r>
          </w:p>
        </w:tc>
        <w:tc>
          <w:tcPr>
            <w:tcW w:type="dxa" w:w="5083"/>
            <w:vAlign w:val="center"/>
          </w:tcPr>
          <w:p>
            <w:r/>
            <w:r>
              <w:rPr>
                <w:b w:val="0"/>
                <w:sz w:val="17"/>
              </w:rPr>
              <w:t>Vanilla, Antithetic, BrownianBridge, MomentMatching</w:t>
            </w:r>
          </w:p>
        </w:tc>
      </w:tr>
      <w:tr>
        <w:tc>
          <w:tcPr>
            <w:tcW w:type="dxa" w:w="2016"/>
            <w:vAlign w:val="center"/>
          </w:tcPr>
          <w:p>
            <w:r/>
            <w:r>
              <w:rPr>
                <w:b w:val="0"/>
                <w:sz w:val="17"/>
              </w:rPr>
              <w:t>num_repetitions</w:t>
            </w:r>
          </w:p>
        </w:tc>
        <w:tc>
          <w:tcPr>
            <w:tcW w:type="dxa" w:w="5083"/>
            <w:vAlign w:val="center"/>
          </w:tcPr>
          <w:p>
            <w:r/>
            <w:r>
              <w:rPr>
                <w:b w:val="0"/>
                <w:sz w:val="17"/>
              </w:rPr>
              <w:t>Used for Quasi, LatinHypercube, Stratification, MomentMatching, BrownianBridge and Antithetic; must be at least 2.</w:t>
            </w:r>
          </w:p>
        </w:tc>
      </w:tr>
      <w:tr>
        <w:tc>
          <w:tcPr>
            <w:tcW w:type="dxa" w:w="2016"/>
            <w:vAlign w:val="center"/>
          </w:tcPr>
          <w:p>
            <w:r/>
            <w:r>
              <w:rPr>
                <w:b w:val="0"/>
                <w:sz w:val="17"/>
              </w:rPr>
              <w:t>N</w:t>
            </w:r>
          </w:p>
        </w:tc>
        <w:tc>
          <w:tcPr>
            <w:tcW w:type="dxa" w:w="5083"/>
            <w:vAlign w:val="center"/>
          </w:tcPr>
          <w:p>
            <w:r/>
            <w:r>
              <w:rPr>
                <w:b w:val="0"/>
                <w:sz w:val="17"/>
              </w:rPr>
              <w:t>Must be even when wiener="Antithetic".</w:t>
            </w:r>
          </w:p>
        </w:tc>
      </w:tr>
      <w:tr>
        <w:tc>
          <w:tcPr>
            <w:tcW w:type="dxa" w:w="2016"/>
            <w:vAlign w:val="center"/>
          </w:tcPr>
          <w:p>
            <w:r/>
            <w:r>
              <w:rPr>
                <w:b w:val="0"/>
                <w:sz w:val="17"/>
              </w:rPr>
              <w:t>seed</w:t>
            </w:r>
          </w:p>
        </w:tc>
        <w:tc>
          <w:tcPr>
            <w:tcW w:type="dxa" w:w="5083"/>
            <w:vAlign w:val="center"/>
          </w:tcPr>
          <w:p>
            <w:r/>
            <w:r>
              <w:rPr>
                <w:b w:val="0"/>
                <w:sz w:val="17"/>
              </w:rPr>
              <w:t>Controls deterministic reproducibility. Repeated schemes spawn deterministic child seeds.</w:t>
            </w:r>
          </w:p>
        </w:tc>
      </w:tr>
    </w:tbl>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Standard error convention: </w:t>
            </w:r>
            <w:r>
              <w:rPr>
                <w:sz w:val="18"/>
              </w:rPr>
              <w:t>Plain Standard/None/Vanilla execution uses a single-run pathwise standard error. Advanced generators or sampling schemes use replication-price standard deviation divided by sqrt(num_repetitions).</w:t>
            </w:r>
          </w:p>
        </w:tc>
      </w:tr>
    </w:tbl>
    <w:p/>
    <w:p>
      <w:pPr>
        <w:pStyle w:val="Heading1"/>
      </w:pPr>
      <w:r>
        <w:t>16. Greeks and Hessian</w:t>
      </w:r>
    </w:p>
    <w:p>
      <w:r>
        <w:t>Set greeks=True to request finite-difference sensitivities. Set Hessian=True together with greeks=True to request second-order and cross sensitivities. These flags are passed directly to the installed price() function; customers do not need to call REST endpoints.</w:t>
      </w:r>
    </w:p>
    <w:p>
      <w:pPr>
        <w:pStyle w:val="CodeBlock"/>
      </w:pPr>
      <w:r>
        <w:t>from optipricepropandas import price</w:t>
        <w:br/>
        <w:br/>
        <w:t>result = price(</w:t>
        <w:br/>
        <w:t xml:space="preserve">    "European", "Call", S0=100, K=100, r=0.05, sigma=0.2, T=1,</w:t>
        <w:br/>
        <w:t xml:space="preserve">    M=50, N=20000, seed=0, greeks=True, Hessian=False</w:t>
        <w:br/>
        <w:t>)</w:t>
        <w:br/>
        <w:t>print(result["price"])</w:t>
        <w:br/>
        <w:t>print(result.get("greeks"))</w:t>
        <w:br/>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Field</w:t>
            </w:r>
          </w:p>
        </w:tc>
        <w:tc>
          <w:tcPr>
            <w:tcW w:type="dxa" w:w="5083"/>
            <w:vAlign w:val="center"/>
            <w:shd w:fill="1F4E78"/>
          </w:tcPr>
          <w:p>
            <w:r/>
            <w:r>
              <w:rPr>
                <w:b/>
                <w:color w:val="FFFFFF"/>
                <w:sz w:val="18"/>
              </w:rPr>
              <w:t>Purpose</w:t>
            </w:r>
          </w:p>
        </w:tc>
      </w:tr>
      <w:tr>
        <w:tc>
          <w:tcPr>
            <w:tcW w:type="dxa" w:w="2016"/>
            <w:vAlign w:val="center"/>
          </w:tcPr>
          <w:p>
            <w:r/>
            <w:r>
              <w:rPr>
                <w:b w:val="0"/>
                <w:sz w:val="17"/>
              </w:rPr>
              <w:t>greeks</w:t>
            </w:r>
          </w:p>
        </w:tc>
        <w:tc>
          <w:tcPr>
            <w:tcW w:type="dxa" w:w="5083"/>
            <w:vAlign w:val="center"/>
          </w:tcPr>
          <w:p>
            <w:r/>
            <w:r>
              <w:rPr>
                <w:b w:val="0"/>
                <w:sz w:val="17"/>
              </w:rPr>
              <w:t>Enable finite-difference sensitivities.</w:t>
            </w:r>
          </w:p>
        </w:tc>
      </w:tr>
      <w:tr>
        <w:tc>
          <w:tcPr>
            <w:tcW w:type="dxa" w:w="2016"/>
            <w:vAlign w:val="center"/>
          </w:tcPr>
          <w:p>
            <w:r/>
            <w:r>
              <w:rPr>
                <w:b w:val="0"/>
                <w:sz w:val="17"/>
              </w:rPr>
              <w:t>Hessian</w:t>
            </w:r>
          </w:p>
        </w:tc>
        <w:tc>
          <w:tcPr>
            <w:tcW w:type="dxa" w:w="5083"/>
            <w:vAlign w:val="center"/>
          </w:tcPr>
          <w:p>
            <w:r/>
            <w:r>
              <w:rPr>
                <w:b w:val="0"/>
                <w:sz w:val="17"/>
              </w:rPr>
              <w:t>Enable second-order and cross sensitivities.</w:t>
            </w:r>
          </w:p>
        </w:tc>
      </w:tr>
      <w:tr>
        <w:tc>
          <w:tcPr>
            <w:tcW w:type="dxa" w:w="2016"/>
            <w:vAlign w:val="center"/>
          </w:tcPr>
          <w:p>
            <w:r/>
            <w:r>
              <w:rPr>
                <w:b w:val="0"/>
                <w:sz w:val="17"/>
              </w:rPr>
              <w:t>Perturbation</w:t>
            </w:r>
          </w:p>
        </w:tc>
        <w:tc>
          <w:tcPr>
            <w:tcW w:type="dxa" w:w="5083"/>
            <w:vAlign w:val="center"/>
          </w:tcPr>
          <w:p>
            <w:r/>
            <w:r>
              <w:rPr>
                <w:b w:val="0"/>
                <w:sz w:val="17"/>
              </w:rPr>
              <w:t>Positive finite relative bump; default 1e-4.</w:t>
            </w:r>
          </w:p>
        </w:tc>
      </w:tr>
      <w:tr>
        <w:tc>
          <w:tcPr>
            <w:tcW w:type="dxa" w:w="2016"/>
            <w:vAlign w:val="center"/>
          </w:tcPr>
          <w:p>
            <w:r/>
            <w:r>
              <w:rPr>
                <w:b w:val="0"/>
                <w:sz w:val="17"/>
              </w:rPr>
              <w:t>sensitivity_parameters</w:t>
            </w:r>
          </w:p>
        </w:tc>
        <w:tc>
          <w:tcPr>
            <w:tcW w:type="dxa" w:w="5083"/>
            <w:vAlign w:val="center"/>
          </w:tcPr>
          <w:p>
            <w:r/>
            <w:r>
              <w:rPr>
                <w:b w:val="0"/>
                <w:sz w:val="17"/>
              </w:rPr>
              <w:t>Optional parameter name or list restricting computed sensitivities.</w:t>
            </w:r>
          </w:p>
        </w:tc>
      </w:tr>
      <w:tr>
        <w:tc>
          <w:tcPr>
            <w:tcW w:type="dxa" w:w="2016"/>
            <w:vAlign w:val="center"/>
          </w:tcPr>
          <w:p>
            <w:r/>
            <w:r>
              <w:rPr>
                <w:b w:val="0"/>
                <w:sz w:val="17"/>
              </w:rPr>
              <w:t>retained_variables</w:t>
            </w:r>
          </w:p>
        </w:tc>
        <w:tc>
          <w:tcPr>
            <w:tcW w:type="dxa" w:w="5083"/>
            <w:vAlign w:val="center"/>
          </w:tcPr>
          <w:p>
            <w:r/>
            <w:r>
              <w:rPr>
                <w:b w:val="0"/>
                <w:sz w:val="17"/>
              </w:rPr>
              <w:t>Request retained engine outputs when supported.</w:t>
            </w:r>
          </w:p>
        </w:tc>
      </w:tr>
      <w:tr>
        <w:tc>
          <w:tcPr>
            <w:tcW w:type="dxa" w:w="2016"/>
            <w:vAlign w:val="center"/>
          </w:tcPr>
          <w:p>
            <w:r/>
            <w:r>
              <w:rPr>
                <w:b w:val="0"/>
                <w:sz w:val="17"/>
              </w:rPr>
              <w:t>beta</w:t>
            </w:r>
          </w:p>
        </w:tc>
        <w:tc>
          <w:tcPr>
            <w:tcW w:type="dxa" w:w="5083"/>
            <w:vAlign w:val="center"/>
          </w:tcPr>
          <w:p>
            <w:r/>
            <w:r>
              <w:rPr>
                <w:b w:val="0"/>
                <w:sz w:val="17"/>
              </w:rPr>
              <w:t>Optional engine parameter retained for compatibility.</w:t>
            </w:r>
          </w:p>
        </w:tc>
      </w:tr>
    </w:tbl>
    <w:p/>
    <w:p>
      <w:pPr>
        <w:pStyle w:val="Heading1"/>
      </w:pPr>
      <w:r>
        <w:t>17. Correlation matrices and low-level vectors</w:t>
      </w:r>
    </w:p>
    <w:p>
      <w:r>
        <w:t>Correlation matrices correlation2 through correlation6 default to identity matrices. A supplied matrix must have the exact dimension, finite entries, symmetry, unit diagonal, and positive definiteness.</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Override</w:t>
            </w:r>
          </w:p>
        </w:tc>
        <w:tc>
          <w:tcPr>
            <w:tcW w:type="dxa" w:w="5083"/>
            <w:vAlign w:val="center"/>
            <w:shd w:fill="1F4E78"/>
          </w:tcPr>
          <w:p>
            <w:r/>
            <w:r>
              <w:rPr>
                <w:b/>
                <w:color w:val="FFFFFF"/>
                <w:sz w:val="18"/>
              </w:rPr>
              <w:t>Required length</w:t>
            </w:r>
          </w:p>
        </w:tc>
      </w:tr>
      <w:tr>
        <w:tc>
          <w:tcPr>
            <w:tcW w:type="dxa" w:w="2016"/>
            <w:vAlign w:val="center"/>
          </w:tcPr>
          <w:p>
            <w:r/>
            <w:r>
              <w:rPr>
                <w:b w:val="0"/>
                <w:sz w:val="17"/>
              </w:rPr>
              <w:t>VanillaParameters</w:t>
            </w:r>
          </w:p>
        </w:tc>
        <w:tc>
          <w:tcPr>
            <w:tcW w:type="dxa" w:w="5083"/>
            <w:vAlign w:val="center"/>
          </w:tcPr>
          <w:p>
            <w:r/>
            <w:r>
              <w:rPr>
                <w:b w:val="0"/>
                <w:sz w:val="17"/>
              </w:rPr>
              <w:t>8: M, S0, sentiment0, r, sigma, y, T, N</w:t>
            </w:r>
          </w:p>
        </w:tc>
      </w:tr>
      <w:tr>
        <w:tc>
          <w:tcPr>
            <w:tcW w:type="dxa" w:w="2016"/>
            <w:vAlign w:val="center"/>
          </w:tcPr>
          <w:p>
            <w:r/>
            <w:r>
              <w:rPr>
                <w:b w:val="0"/>
                <w:sz w:val="17"/>
              </w:rPr>
              <w:t>JumpParameters</w:t>
            </w:r>
          </w:p>
        </w:tc>
        <w:tc>
          <w:tcPr>
            <w:tcW w:type="dxa" w:w="5083"/>
            <w:vAlign w:val="center"/>
          </w:tcPr>
          <w:p>
            <w:r/>
            <w:r>
              <w:rPr>
                <w:b w:val="0"/>
                <w:sz w:val="17"/>
              </w:rPr>
              <w:t>3: muJ, sigmaJ, Lambda</w:t>
            </w:r>
          </w:p>
        </w:tc>
      </w:tr>
      <w:tr>
        <w:tc>
          <w:tcPr>
            <w:tcW w:type="dxa" w:w="2016"/>
            <w:vAlign w:val="center"/>
          </w:tcPr>
          <w:p>
            <w:r/>
            <w:r>
              <w:rPr>
                <w:b w:val="0"/>
                <w:sz w:val="17"/>
              </w:rPr>
              <w:t>RateParameters</w:t>
            </w:r>
          </w:p>
        </w:tc>
        <w:tc>
          <w:tcPr>
            <w:tcW w:type="dxa" w:w="5083"/>
            <w:vAlign w:val="center"/>
          </w:tcPr>
          <w:p>
            <w:r/>
            <w:r>
              <w:rPr>
                <w:b w:val="0"/>
                <w:sz w:val="17"/>
              </w:rPr>
              <w:t>6</w:t>
            </w:r>
          </w:p>
        </w:tc>
      </w:tr>
      <w:tr>
        <w:tc>
          <w:tcPr>
            <w:tcW w:type="dxa" w:w="2016"/>
            <w:vAlign w:val="center"/>
          </w:tcPr>
          <w:p>
            <w:r/>
            <w:r>
              <w:rPr>
                <w:b w:val="0"/>
                <w:sz w:val="17"/>
              </w:rPr>
              <w:t>VolatilityParameters</w:t>
            </w:r>
          </w:p>
        </w:tc>
        <w:tc>
          <w:tcPr>
            <w:tcW w:type="dxa" w:w="5083"/>
            <w:vAlign w:val="center"/>
          </w:tcPr>
          <w:p>
            <w:r/>
            <w:r>
              <w:rPr>
                <w:b w:val="0"/>
                <w:sz w:val="17"/>
              </w:rPr>
              <w:t>6</w:t>
            </w:r>
          </w:p>
        </w:tc>
      </w:tr>
      <w:tr>
        <w:tc>
          <w:tcPr>
            <w:tcW w:type="dxa" w:w="2016"/>
            <w:vAlign w:val="center"/>
          </w:tcPr>
          <w:p>
            <w:r/>
            <w:r>
              <w:rPr>
                <w:b w:val="0"/>
                <w:sz w:val="17"/>
              </w:rPr>
              <w:t>DividendParameters</w:t>
            </w:r>
          </w:p>
        </w:tc>
        <w:tc>
          <w:tcPr>
            <w:tcW w:type="dxa" w:w="5083"/>
            <w:vAlign w:val="center"/>
          </w:tcPr>
          <w:p>
            <w:r/>
            <w:r>
              <w:rPr>
                <w:b w:val="0"/>
                <w:sz w:val="17"/>
              </w:rPr>
              <w:t>4</w:t>
            </w:r>
          </w:p>
        </w:tc>
      </w:tr>
      <w:tr>
        <w:tc>
          <w:tcPr>
            <w:tcW w:type="dxa" w:w="2016"/>
            <w:vAlign w:val="center"/>
          </w:tcPr>
          <w:p>
            <w:r/>
            <w:r>
              <w:rPr>
                <w:b w:val="0"/>
                <w:sz w:val="17"/>
              </w:rPr>
              <w:t>SentimentVolParameters</w:t>
            </w:r>
          </w:p>
        </w:tc>
        <w:tc>
          <w:tcPr>
            <w:tcW w:type="dxa" w:w="5083"/>
            <w:vAlign w:val="center"/>
          </w:tcPr>
          <w:p>
            <w:r/>
            <w:r>
              <w:rPr>
                <w:b w:val="0"/>
                <w:sz w:val="17"/>
              </w:rPr>
              <w:t>6</w:t>
            </w:r>
          </w:p>
        </w:tc>
      </w:tr>
      <w:tr>
        <w:tc>
          <w:tcPr>
            <w:tcW w:type="dxa" w:w="2016"/>
            <w:vAlign w:val="center"/>
          </w:tcPr>
          <w:p>
            <w:r/>
            <w:r>
              <w:rPr>
                <w:b w:val="0"/>
                <w:sz w:val="17"/>
              </w:rPr>
              <w:t>SentimentParameters</w:t>
            </w:r>
          </w:p>
        </w:tc>
        <w:tc>
          <w:tcPr>
            <w:tcW w:type="dxa" w:w="5083"/>
            <w:vAlign w:val="center"/>
          </w:tcPr>
          <w:p>
            <w:r/>
            <w:r>
              <w:rPr>
                <w:b w:val="0"/>
                <w:sz w:val="17"/>
              </w:rPr>
              <w:t>5</w:t>
            </w:r>
          </w:p>
        </w:tc>
      </w:tr>
    </w:tbl>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Advanced use: </w:t>
            </w:r>
            <w:r>
              <w:rPr>
                <w:sz w:val="18"/>
              </w:rPr>
              <w:t>Low-level vectors override corresponding flat fields. Prefer the named flat fields in normal client applications because they are clearer and easier to validate.</w:t>
            </w:r>
          </w:p>
        </w:tc>
      </w:tr>
    </w:tbl>
    <w:p/>
    <w:p>
      <w:pPr>
        <w:pStyle w:val="Heading1"/>
      </w:pPr>
      <w:r>
        <w:t>18. Error handling and validation</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HTTP status</w:t>
            </w:r>
          </w:p>
        </w:tc>
        <w:tc>
          <w:tcPr>
            <w:tcW w:type="dxa" w:w="5083"/>
            <w:vAlign w:val="center"/>
            <w:shd w:fill="1F4E78"/>
          </w:tcPr>
          <w:p>
            <w:r/>
            <w:r>
              <w:rPr>
                <w:b/>
                <w:color w:val="FFFFFF"/>
                <w:sz w:val="18"/>
              </w:rPr>
              <w:t>Meaning</w:t>
            </w:r>
          </w:p>
        </w:tc>
      </w:tr>
      <w:tr>
        <w:tc>
          <w:tcPr>
            <w:tcW w:type="dxa" w:w="2016"/>
            <w:vAlign w:val="center"/>
          </w:tcPr>
          <w:p>
            <w:r/>
            <w:r>
              <w:rPr>
                <w:b w:val="0"/>
                <w:sz w:val="17"/>
              </w:rPr>
              <w:t>200</w:t>
            </w:r>
          </w:p>
        </w:tc>
        <w:tc>
          <w:tcPr>
            <w:tcW w:type="dxa" w:w="5083"/>
            <w:vAlign w:val="center"/>
          </w:tcPr>
          <w:p>
            <w:r/>
            <w:r>
              <w:rPr>
                <w:b w:val="0"/>
                <w:sz w:val="17"/>
              </w:rPr>
              <w:t>Successful execution.</w:t>
            </w:r>
          </w:p>
        </w:tc>
      </w:tr>
      <w:tr>
        <w:tc>
          <w:tcPr>
            <w:tcW w:type="dxa" w:w="2016"/>
            <w:vAlign w:val="center"/>
          </w:tcPr>
          <w:p>
            <w:r/>
            <w:r>
              <w:rPr>
                <w:b w:val="0"/>
                <w:sz w:val="17"/>
              </w:rPr>
              <w:t>422</w:t>
            </w:r>
          </w:p>
        </w:tc>
        <w:tc>
          <w:tcPr>
            <w:tcW w:type="dxa" w:w="5083"/>
            <w:vAlign w:val="center"/>
          </w:tcPr>
          <w:p>
            <w:r/>
            <w:r>
              <w:rPr>
                <w:b w:val="0"/>
                <w:sz w:val="17"/>
              </w:rPr>
              <w:t>Pydantic request validation or a TypeError, ValueError or KeyError raised by the pricing facade.</w:t>
            </w:r>
          </w:p>
        </w:tc>
      </w:tr>
      <w:tr>
        <w:tc>
          <w:tcPr>
            <w:tcW w:type="dxa" w:w="2016"/>
            <w:vAlign w:val="center"/>
          </w:tcPr>
          <w:p>
            <w:r/>
            <w:r>
              <w:rPr>
                <w:b w:val="0"/>
                <w:sz w:val="17"/>
              </w:rPr>
              <w:t>500</w:t>
            </w:r>
          </w:p>
        </w:tc>
        <w:tc>
          <w:tcPr>
            <w:tcW w:type="dxa" w:w="5083"/>
            <w:vAlign w:val="center"/>
          </w:tcPr>
          <w:p>
            <w:r/>
            <w:r>
              <w:rPr>
                <w:b w:val="0"/>
                <w:sz w:val="17"/>
              </w:rPr>
              <w:t>Unexpected internal exception.</w:t>
            </w:r>
          </w:p>
        </w:tc>
      </w:tr>
    </w:tbl>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Validation example</w:t>
            </w:r>
          </w:p>
        </w:tc>
        <w:tc>
          <w:tcPr>
            <w:tcW w:type="dxa" w:w="5083"/>
            <w:vAlign w:val="center"/>
            <w:shd w:fill="1F4E78"/>
          </w:tcPr>
          <w:p>
            <w:r/>
            <w:r>
              <w:rPr>
                <w:b/>
                <w:color w:val="FFFFFF"/>
                <w:sz w:val="18"/>
              </w:rPr>
              <w:t>Rule</w:t>
            </w:r>
          </w:p>
        </w:tc>
      </w:tr>
      <w:tr>
        <w:tc>
          <w:tcPr>
            <w:tcW w:type="dxa" w:w="2016"/>
            <w:vAlign w:val="center"/>
          </w:tcPr>
          <w:p>
            <w:r/>
            <w:r>
              <w:rPr>
                <w:b w:val="0"/>
                <w:sz w:val="17"/>
              </w:rPr>
              <w:t>M, N, T</w:t>
            </w:r>
          </w:p>
        </w:tc>
        <w:tc>
          <w:tcPr>
            <w:tcW w:type="dxa" w:w="5083"/>
            <w:vAlign w:val="center"/>
          </w:tcPr>
          <w:p>
            <w:r/>
            <w:r>
              <w:rPr>
                <w:b w:val="0"/>
                <w:sz w:val="17"/>
              </w:rPr>
              <w:t>Must be positive.</w:t>
            </w:r>
          </w:p>
        </w:tc>
      </w:tr>
      <w:tr>
        <w:tc>
          <w:tcPr>
            <w:tcW w:type="dxa" w:w="2016"/>
            <w:vAlign w:val="center"/>
          </w:tcPr>
          <w:p>
            <w:r/>
            <w:r>
              <w:rPr>
                <w:b w:val="0"/>
                <w:sz w:val="17"/>
              </w:rPr>
              <w:t>sigma</w:t>
            </w:r>
          </w:p>
        </w:tc>
        <w:tc>
          <w:tcPr>
            <w:tcW w:type="dxa" w:w="5083"/>
            <w:vAlign w:val="center"/>
          </w:tcPr>
          <w:p>
            <w:r/>
            <w:r>
              <w:rPr>
                <w:b w:val="0"/>
                <w:sz w:val="17"/>
              </w:rPr>
              <w:t>Must be non-negative.</w:t>
            </w:r>
          </w:p>
        </w:tc>
      </w:tr>
      <w:tr>
        <w:tc>
          <w:tcPr>
            <w:tcW w:type="dxa" w:w="2016"/>
            <w:vAlign w:val="center"/>
          </w:tcPr>
          <w:p>
            <w:r/>
            <w:r>
              <w:rPr>
                <w:b w:val="0"/>
                <w:sz w:val="17"/>
              </w:rPr>
              <w:t>Lambda and other jump intensities</w:t>
            </w:r>
          </w:p>
        </w:tc>
        <w:tc>
          <w:tcPr>
            <w:tcW w:type="dxa" w:w="5083"/>
            <w:vAlign w:val="center"/>
          </w:tcPr>
          <w:p>
            <w:r/>
            <w:r>
              <w:rPr>
                <w:b w:val="0"/>
                <w:sz w:val="17"/>
              </w:rPr>
              <w:t>Must be non-negative.</w:t>
            </w:r>
          </w:p>
        </w:tc>
      </w:tr>
      <w:tr>
        <w:tc>
          <w:tcPr>
            <w:tcW w:type="dxa" w:w="2016"/>
            <w:vAlign w:val="center"/>
          </w:tcPr>
          <w:p>
            <w:r/>
            <w:r>
              <w:rPr>
                <w:b w:val="0"/>
                <w:sz w:val="17"/>
              </w:rPr>
              <w:t>jumps, control_variate, greeks, Hessian</w:t>
            </w:r>
          </w:p>
        </w:tc>
        <w:tc>
          <w:tcPr>
            <w:tcW w:type="dxa" w:w="5083"/>
            <w:vAlign w:val="center"/>
          </w:tcPr>
          <w:p>
            <w:r/>
            <w:r>
              <w:rPr>
                <w:b w:val="0"/>
                <w:sz w:val="17"/>
              </w:rPr>
              <w:t>Must be booleans.</w:t>
            </w:r>
          </w:p>
        </w:tc>
      </w:tr>
      <w:tr>
        <w:tc>
          <w:tcPr>
            <w:tcW w:type="dxa" w:w="2016"/>
            <w:vAlign w:val="center"/>
          </w:tcPr>
          <w:p>
            <w:r/>
            <w:r>
              <w:rPr>
                <w:b w:val="0"/>
                <w:sz w:val="17"/>
              </w:rPr>
              <w:t>Perturbation</w:t>
            </w:r>
          </w:p>
        </w:tc>
        <w:tc>
          <w:tcPr>
            <w:tcW w:type="dxa" w:w="5083"/>
            <w:vAlign w:val="center"/>
          </w:tcPr>
          <w:p>
            <w:r/>
            <w:r>
              <w:rPr>
                <w:b w:val="0"/>
                <w:sz w:val="17"/>
              </w:rPr>
              <w:t>Must be positive and finite.</w:t>
            </w:r>
          </w:p>
        </w:tc>
      </w:tr>
      <w:tr>
        <w:tc>
          <w:tcPr>
            <w:tcW w:type="dxa" w:w="2016"/>
            <w:vAlign w:val="center"/>
          </w:tcPr>
          <w:p>
            <w:r/>
            <w:r>
              <w:rPr>
                <w:b w:val="0"/>
                <w:sz w:val="17"/>
              </w:rPr>
              <w:t>control_variate=true</w:t>
            </w:r>
          </w:p>
        </w:tc>
        <w:tc>
          <w:tcPr>
            <w:tcW w:type="dxa" w:w="5083"/>
            <w:vAlign w:val="center"/>
          </w:tcPr>
          <w:p>
            <w:r/>
            <w:r>
              <w:rPr>
                <w:b w:val="0"/>
                <w:sz w:val="17"/>
              </w:rPr>
              <w:t>Requires control_underlying and finite control_analytical_value.</w:t>
            </w:r>
          </w:p>
        </w:tc>
      </w:tr>
      <w:tr>
        <w:tc>
          <w:tcPr>
            <w:tcW w:type="dxa" w:w="2016"/>
            <w:vAlign w:val="center"/>
          </w:tcPr>
          <w:p>
            <w:r/>
            <w:r>
              <w:rPr>
                <w:b w:val="0"/>
                <w:sz w:val="17"/>
              </w:rPr>
              <w:t>control_calibration_paths</w:t>
            </w:r>
          </w:p>
        </w:tc>
        <w:tc>
          <w:tcPr>
            <w:tcW w:type="dxa" w:w="5083"/>
            <w:vAlign w:val="center"/>
          </w:tcPr>
          <w:p>
            <w:r/>
            <w:r>
              <w:rPr>
                <w:b w:val="0"/>
                <w:sz w:val="17"/>
              </w:rPr>
              <w:t>At least 2 and smaller than N.</w:t>
            </w:r>
          </w:p>
        </w:tc>
      </w:tr>
      <w:tr>
        <w:tc>
          <w:tcPr>
            <w:tcW w:type="dxa" w:w="2016"/>
            <w:vAlign w:val="center"/>
          </w:tcPr>
          <w:p>
            <w:r/>
            <w:r>
              <w:rPr>
                <w:b w:val="0"/>
                <w:sz w:val="17"/>
              </w:rPr>
              <w:t>theta_t, b_t, sigma_t</w:t>
            </w:r>
          </w:p>
        </w:tc>
        <w:tc>
          <w:tcPr>
            <w:tcW w:type="dxa" w:w="5083"/>
            <w:vAlign w:val="center"/>
          </w:tcPr>
          <w:p>
            <w:r/>
            <w:r>
              <w:rPr>
                <w:b w:val="0"/>
                <w:sz w:val="17"/>
              </w:rPr>
              <w:t>One-dimensional, finite and at least M+1 entries.</w:t>
            </w:r>
          </w:p>
        </w:tc>
      </w:tr>
      <w:tr>
        <w:tc>
          <w:tcPr>
            <w:tcW w:type="dxa" w:w="2016"/>
            <w:vAlign w:val="center"/>
          </w:tcPr>
          <w:p>
            <w:r/>
            <w:r>
              <w:rPr>
                <w:b w:val="0"/>
                <w:sz w:val="17"/>
              </w:rPr>
              <w:t>Unknown request field</w:t>
            </w:r>
          </w:p>
        </w:tc>
        <w:tc>
          <w:tcPr>
            <w:tcW w:type="dxa" w:w="5083"/>
            <w:vAlign w:val="center"/>
          </w:tcPr>
          <w:p>
            <w:r/>
            <w:r>
              <w:rPr>
                <w:b w:val="0"/>
                <w:sz w:val="17"/>
              </w:rPr>
              <w:t>Rejected by Pydantic.</w:t>
            </w:r>
          </w:p>
        </w:tc>
      </w:tr>
      <w:tr>
        <w:tc>
          <w:tcPr>
            <w:tcW w:type="dxa" w:w="2016"/>
            <w:vAlign w:val="center"/>
          </w:tcPr>
          <w:p>
            <w:r/>
            <w:r>
              <w:rPr>
                <w:b w:val="0"/>
                <w:sz w:val="17"/>
              </w:rPr>
              <w:t>Unknown price keyword</w:t>
            </w:r>
          </w:p>
        </w:tc>
        <w:tc>
          <w:tcPr>
            <w:tcW w:type="dxa" w:w="5083"/>
            <w:vAlign w:val="center"/>
          </w:tcPr>
          <w:p>
            <w:r/>
            <w:r>
              <w:rPr>
                <w:b w:val="0"/>
                <w:sz w:val="17"/>
              </w:rPr>
              <w:t>Rejected by price().</w:t>
            </w:r>
          </w:p>
        </w:tc>
      </w:tr>
    </w:tbl>
    <w:p/>
    <w:p>
      <w:pPr>
        <w:pStyle w:val="CodeBlock"/>
      </w:pPr>
      <w:r>
        <w:rPr>
          <w:rFonts w:ascii="Consolas" w:hAnsi="Consolas" w:eastAsia="Consolas"/>
          <w:sz w:val="16"/>
        </w:rPr>
        <w:t>{</w:t>
        <w:br/>
      </w:r>
      <w:r>
        <w:rPr>
          <w:rFonts w:ascii="Consolas" w:hAnsi="Consolas" w:eastAsia="Consolas"/>
          <w:sz w:val="16"/>
        </w:rPr>
        <w:t xml:space="preserve">  "detail": "ValueError: Antithetic Wiener generation requires an even N."</w:t>
        <w:br/>
      </w:r>
      <w:r>
        <w:rPr>
          <w:rFonts w:ascii="Consolas" w:hAnsi="Consolas" w:eastAsia="Consolas"/>
          <w:sz w:val="16"/>
        </w:rPr>
        <w:t>}</w:t>
        <w:br/>
      </w:r>
    </w:p>
    <w:p>
      <w:pPr>
        <w:pStyle w:val="Heading1"/>
      </w:pPr>
      <w:r>
        <w:t>19. Testing and reproducibility</w:t>
      </w:r>
    </w:p>
    <w:p>
      <w:r>
        <w:t>The supplied regression suite uses only flat public price() calls. It verifies numerical anchors, parity relations, exercise-value ordering, configuration resolution, variance reduction and deterministic same-seed behaviour.</w:t>
      </w:r>
    </w:p>
    <w:p>
      <w:pPr>
        <w:pStyle w:val="Heading2"/>
      </w:pPr>
      <w:r>
        <w:t>19.1 Run the complete supplied suite</w:t>
      </w:r>
    </w:p>
    <w:p>
      <w:pPr>
        <w:pStyle w:val="CodeBlock"/>
      </w:pPr>
      <w:r>
        <w:rPr>
          <w:rFonts w:ascii="Consolas" w:hAnsi="Consolas" w:eastAsia="Consolas"/>
          <w:sz w:val="16"/>
        </w:rPr>
        <w:t>python -m pytest -q -v \</w:t>
        <w:br/>
      </w:r>
      <w:r>
        <w:rPr>
          <w:rFonts w:ascii="Consolas" w:hAnsi="Consolas" w:eastAsia="Consolas"/>
          <w:sz w:val="16"/>
        </w:rPr>
        <w:t xml:space="preserve">  "test_01_vanilla_american_API_ONLY(4).py" \</w:t>
        <w:br/>
      </w:r>
      <w:r>
        <w:rPr>
          <w:rFonts w:ascii="Consolas" w:hAnsi="Consolas" w:eastAsia="Consolas"/>
          <w:sz w:val="16"/>
        </w:rPr>
        <w:t xml:space="preserve">  "test_02_heston_american_API_ONLY(4).py" \</w:t>
        <w:br/>
      </w:r>
      <w:r>
        <w:rPr>
          <w:rFonts w:ascii="Consolas" w:hAnsi="Consolas" w:eastAsia="Consolas"/>
          <w:sz w:val="16"/>
        </w:rPr>
        <w:t xml:space="preserve">  "test_03_asian_API_ONLY(4).py" \</w:t>
        <w:br/>
      </w:r>
      <w:r>
        <w:rPr>
          <w:rFonts w:ascii="Consolas" w:hAnsi="Consolas" w:eastAsia="Consolas"/>
          <w:sz w:val="16"/>
        </w:rPr>
        <w:t xml:space="preserve">  "test_04_barrier_european_API_ONLY(4).py" \</w:t>
        <w:br/>
      </w:r>
      <w:r>
        <w:rPr>
          <w:rFonts w:ascii="Consolas" w:hAnsi="Consolas" w:eastAsia="Consolas"/>
          <w:sz w:val="16"/>
        </w:rPr>
        <w:t xml:space="preserve">  "test_05_lookback_european_API_ONLY(4).py" \</w:t>
        <w:br/>
      </w:r>
      <w:r>
        <w:rPr>
          <w:rFonts w:ascii="Consolas" w:hAnsi="Consolas" w:eastAsia="Consolas"/>
          <w:sz w:val="16"/>
        </w:rPr>
        <w:t xml:space="preserve">  "test_06_barrier_american_API_ONLY(4).py" \</w:t>
        <w:br/>
      </w:r>
      <w:r>
        <w:rPr>
          <w:rFonts w:ascii="Consolas" w:hAnsi="Consolas" w:eastAsia="Consolas"/>
          <w:sz w:val="16"/>
        </w:rPr>
        <w:t xml:space="preserve">  "test_07_lookback_american_API_ONLY(3).py" \</w:t>
        <w:br/>
      </w:r>
      <w:r>
        <w:rPr>
          <w:rFonts w:ascii="Consolas" w:hAnsi="Consolas" w:eastAsia="Consolas"/>
          <w:sz w:val="16"/>
        </w:rPr>
        <w:t xml:space="preserve">  "test_08_importance_sampling_API_ONLY(4).py" \</w:t>
        <w:br/>
      </w:r>
      <w:r>
        <w:rPr>
          <w:rFonts w:ascii="Consolas" w:hAnsi="Consolas" w:eastAsia="Consolas"/>
          <w:sz w:val="16"/>
        </w:rPr>
        <w:t xml:space="preserve">  "test_09_compositions_API_ONLY(4).py" \</w:t>
        <w:br/>
      </w:r>
      <w:r>
        <w:rPr>
          <w:rFonts w:ascii="Consolas" w:hAnsi="Consolas" w:eastAsia="Consolas"/>
          <w:sz w:val="16"/>
        </w:rPr>
        <w:t xml:space="preserve">  "test_10_jumps_API_ONLY(4).py" \</w:t>
        <w:br/>
      </w:r>
      <w:r>
        <w:rPr>
          <w:rFonts w:ascii="Consolas" w:hAnsi="Consolas" w:eastAsia="Consolas"/>
          <w:sz w:val="16"/>
        </w:rPr>
        <w:t xml:space="preserve">  "test_12_barriers_mixed_API_ONLY(4).py"</w:t>
        <w:br/>
      </w:r>
    </w:p>
    <w:p>
      <w:pPr>
        <w:pStyle w:val="Heading2"/>
      </w:pPr>
      <w:r>
        <w:t>19.2 Run one file</w:t>
      </w:r>
    </w:p>
    <w:p>
      <w:pPr>
        <w:pStyle w:val="CodeBlock"/>
      </w:pPr>
      <w:r>
        <w:rPr>
          <w:rFonts w:ascii="Consolas" w:hAnsi="Consolas" w:eastAsia="Consolas"/>
          <w:sz w:val="16"/>
        </w:rPr>
        <w:t>python -m pytest -q -v "test_05_lookback_european_API_ONLY(4).py"</w:t>
        <w:br/>
      </w:r>
    </w:p>
    <w:p>
      <w:pPr>
        <w:pStyle w:val="Heading2"/>
      </w:pPr>
      <w:r>
        <w:t>19.3 Override Monte Carlo scale</w:t>
      </w:r>
    </w:p>
    <w:p>
      <w:pPr>
        <w:pStyle w:val="CodeBlock"/>
      </w:pPr>
      <w:r>
        <w:rPr>
          <w:rFonts w:ascii="Consolas" w:hAnsi="Consolas" w:eastAsia="Consolas"/>
          <w:sz w:val="16"/>
        </w:rPr>
        <w:t>set LOOKBACK_TEST_N_PATHS=50000</w:t>
        <w:br/>
      </w:r>
      <w:r>
        <w:rPr>
          <w:rFonts w:ascii="Consolas" w:hAnsi="Consolas" w:eastAsia="Consolas"/>
          <w:sz w:val="16"/>
        </w:rPr>
        <w:t>set LOOKBACK_TEST_N_STEPS=50</w:t>
        <w:br/>
      </w:r>
      <w:r>
        <w:rPr>
          <w:rFonts w:ascii="Consolas" w:hAnsi="Consolas" w:eastAsia="Consolas"/>
          <w:sz w:val="16"/>
        </w:rPr>
        <w:t>set LOOKBACK_TEST_SEED=0</w:t>
        <w:br/>
      </w:r>
      <w:r>
        <w:rPr>
          <w:rFonts w:ascii="Consolas" w:hAnsi="Consolas" w:eastAsia="Consolas"/>
          <w:sz w:val="16"/>
        </w:rPr>
        <w:t>python -m pytest -q -v "test_05_lookback_european_API_ONLY(4).py"</w:t>
        <w:br/>
      </w:r>
    </w:p>
    <w:tbl>
      <w:tblPr>
        <w:tblStyle w:val="TableGrid"/>
        <w:tblW w:type="auto" w:w="0"/>
        <w:jc w:val="center"/>
        <w:tblLook w:firstColumn="1" w:firstRow="1" w:lastColumn="0" w:lastRow="0" w:noHBand="0" w:noVBand="1" w:val="04A0"/>
      </w:tblPr>
      <w:tblGrid>
        <w:gridCol w:w="10166"/>
      </w:tblGrid>
      <w:tr>
        <w:tc>
          <w:tcPr>
            <w:tcW w:type="dxa" w:w="10166"/>
            <w:shd w:fill="EAF2F8"/>
          </w:tcPr>
          <w:p>
            <w:r>
              <w:rPr>
                <w:b/>
                <w:sz w:val="18"/>
              </w:rPr>
              <w:t xml:space="preserve">Reproducibility: </w:t>
            </w:r>
            <w:r>
              <w:rPr>
                <w:sz w:val="18"/>
              </w:rPr>
              <w:t>The tests repeatedly call the same request with the same seed and require identical prices and standard errors. Keep all request parameters, library version and environment unchanged when reproducing a result.</w:t>
            </w:r>
          </w:p>
        </w:tc>
      </w:tr>
    </w:tbl>
    <w:p/>
    <w:p>
      <w:pPr>
        <w:pStyle w:val="Heading1"/>
      </w:pPr>
      <w:r>
        <w:t>20. Complete parameter reference</w:t>
      </w:r>
    </w:p>
    <w:p>
      <w:pPr>
        <w:pStyle w:val="Heading2"/>
      </w:pPr>
      <w:r>
        <w:t>Required and product selection</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exercise</w:t>
            </w:r>
          </w:p>
        </w:tc>
        <w:tc>
          <w:tcPr>
            <w:tcW w:type="dxa" w:w="3389"/>
            <w:vAlign w:val="center"/>
          </w:tcPr>
          <w:p>
            <w:r/>
            <w:r>
              <w:rPr>
                <w:b w:val="0"/>
                <w:sz w:val="17"/>
              </w:rPr>
              <w:t>Required</w:t>
            </w:r>
          </w:p>
        </w:tc>
        <w:tc>
          <w:tcPr>
            <w:tcW w:type="dxa" w:w="3389"/>
            <w:vAlign w:val="center"/>
          </w:tcPr>
          <w:p>
            <w:r/>
            <w:r>
              <w:rPr>
                <w:b w:val="0"/>
                <w:sz w:val="17"/>
              </w:rPr>
              <w:t>Exercise style or native lookback exercise class.</w:t>
            </w:r>
          </w:p>
        </w:tc>
      </w:tr>
      <w:tr>
        <w:tc>
          <w:tcPr>
            <w:tcW w:type="dxa" w:w="2016"/>
            <w:vAlign w:val="center"/>
          </w:tcPr>
          <w:p>
            <w:r/>
            <w:r>
              <w:rPr>
                <w:b w:val="0"/>
                <w:sz w:val="17"/>
              </w:rPr>
              <w:t>option_type</w:t>
            </w:r>
          </w:p>
        </w:tc>
        <w:tc>
          <w:tcPr>
            <w:tcW w:type="dxa" w:w="3389"/>
            <w:vAlign w:val="center"/>
          </w:tcPr>
          <w:p>
            <w:r/>
            <w:r>
              <w:rPr>
                <w:b w:val="0"/>
                <w:sz w:val="17"/>
              </w:rPr>
              <w:t>Required</w:t>
            </w:r>
          </w:p>
        </w:tc>
        <w:tc>
          <w:tcPr>
            <w:tcW w:type="dxa" w:w="3389"/>
            <w:vAlign w:val="center"/>
          </w:tcPr>
          <w:p>
            <w:r/>
            <w:r>
              <w:rPr>
                <w:b w:val="0"/>
                <w:sz w:val="17"/>
              </w:rPr>
              <w:t>Payoff type.</w:t>
            </w:r>
          </w:p>
        </w:tc>
      </w:tr>
      <w:tr>
        <w:tc>
          <w:tcPr>
            <w:tcW w:type="dxa" w:w="2016"/>
            <w:vAlign w:val="center"/>
          </w:tcPr>
          <w:p>
            <w:r/>
            <w:r>
              <w:rPr>
                <w:b w:val="0"/>
                <w:sz w:val="17"/>
              </w:rPr>
              <w:t>underlying</w:t>
            </w:r>
          </w:p>
        </w:tc>
        <w:tc>
          <w:tcPr>
            <w:tcW w:type="dxa" w:w="3389"/>
            <w:vAlign w:val="center"/>
          </w:tcPr>
          <w:p>
            <w:r/>
            <w:r>
              <w:rPr>
                <w:b w:val="0"/>
                <w:sz w:val="17"/>
              </w:rPr>
              <w:t>'PathIndependentOption'</w:t>
            </w:r>
          </w:p>
        </w:tc>
        <w:tc>
          <w:tcPr>
            <w:tcW w:type="dxa" w:w="3389"/>
            <w:vAlign w:val="center"/>
          </w:tcPr>
          <w:p>
            <w:r/>
            <w:r>
              <w:rPr>
                <w:b w:val="0"/>
                <w:sz w:val="17"/>
              </w:rPr>
              <w:t>Base path-dependent payoff class.</w:t>
            </w:r>
          </w:p>
        </w:tc>
      </w:tr>
      <w:tr>
        <w:tc>
          <w:tcPr>
            <w:tcW w:type="dxa" w:w="2016"/>
            <w:vAlign w:val="center"/>
          </w:tcPr>
          <w:p>
            <w:r/>
            <w:r>
              <w:rPr>
                <w:b w:val="0"/>
                <w:sz w:val="17"/>
              </w:rPr>
              <w:t>wrapper_order</w:t>
            </w:r>
          </w:p>
        </w:tc>
        <w:tc>
          <w:tcPr>
            <w:tcW w:type="dxa" w:w="3389"/>
            <w:vAlign w:val="center"/>
          </w:tcPr>
          <w:p>
            <w:r/>
            <w:r>
              <w:rPr>
                <w:b w:val="0"/>
                <w:sz w:val="17"/>
              </w:rPr>
              <w:t>'Underlying only'</w:t>
            </w:r>
          </w:p>
        </w:tc>
        <w:tc>
          <w:tcPr>
            <w:tcW w:type="dxa" w:w="3389"/>
            <w:vAlign w:val="center"/>
          </w:tcPr>
          <w:p>
            <w:r/>
            <w:r>
              <w:rPr>
                <w:b w:val="0"/>
                <w:sz w:val="17"/>
              </w:rPr>
              <w:t>Composition of barrier/lookback wrappers.</w:t>
            </w:r>
          </w:p>
        </w:tc>
      </w:tr>
    </w:tbl>
    <w:p/>
    <w:p>
      <w:pPr>
        <w:pStyle w:val="Heading2"/>
      </w:pPr>
      <w:r>
        <w:t>Simulation controls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M</w:t>
            </w:r>
          </w:p>
        </w:tc>
        <w:tc>
          <w:tcPr>
            <w:tcW w:type="dxa" w:w="3389"/>
            <w:vAlign w:val="center"/>
          </w:tcPr>
          <w:p>
            <w:r/>
            <w:r>
              <w:rPr>
                <w:b w:val="0"/>
                <w:sz w:val="17"/>
              </w:rPr>
              <w:t>50</w:t>
            </w:r>
          </w:p>
        </w:tc>
        <w:tc>
          <w:tcPr>
            <w:tcW w:type="dxa" w:w="3389"/>
            <w:vAlign w:val="center"/>
          </w:tcPr>
          <w:p>
            <w:r/>
            <w:r>
              <w:rPr>
                <w:b w:val="0"/>
                <w:sz w:val="17"/>
              </w:rPr>
              <w:t>Time intervals.</w:t>
            </w:r>
          </w:p>
        </w:tc>
      </w:tr>
      <w:tr>
        <w:tc>
          <w:tcPr>
            <w:tcW w:type="dxa" w:w="2016"/>
            <w:vAlign w:val="center"/>
          </w:tcPr>
          <w:p>
            <w:r/>
            <w:r>
              <w:rPr>
                <w:b w:val="0"/>
                <w:sz w:val="17"/>
              </w:rPr>
              <w:t>N</w:t>
            </w:r>
          </w:p>
        </w:tc>
        <w:tc>
          <w:tcPr>
            <w:tcW w:type="dxa" w:w="3389"/>
            <w:vAlign w:val="center"/>
          </w:tcPr>
          <w:p>
            <w:r/>
            <w:r>
              <w:rPr>
                <w:b w:val="0"/>
                <w:sz w:val="17"/>
              </w:rPr>
              <w:t>20000</w:t>
            </w:r>
          </w:p>
        </w:tc>
        <w:tc>
          <w:tcPr>
            <w:tcW w:type="dxa" w:w="3389"/>
            <w:vAlign w:val="center"/>
          </w:tcPr>
          <w:p>
            <w:r/>
            <w:r>
              <w:rPr>
                <w:b w:val="0"/>
                <w:sz w:val="17"/>
              </w:rPr>
              <w:t>Monte Carlo paths.</w:t>
            </w:r>
          </w:p>
        </w:tc>
      </w:tr>
      <w:tr>
        <w:tc>
          <w:tcPr>
            <w:tcW w:type="dxa" w:w="2016"/>
            <w:vAlign w:val="center"/>
          </w:tcPr>
          <w:p>
            <w:r/>
            <w:r>
              <w:rPr>
                <w:b w:val="0"/>
                <w:sz w:val="17"/>
              </w:rPr>
              <w:t>seed</w:t>
            </w:r>
          </w:p>
        </w:tc>
        <w:tc>
          <w:tcPr>
            <w:tcW w:type="dxa" w:w="3389"/>
            <w:vAlign w:val="center"/>
          </w:tcPr>
          <w:p>
            <w:r/>
            <w:r>
              <w:rPr>
                <w:b w:val="0"/>
                <w:sz w:val="17"/>
              </w:rPr>
              <w:t>0</w:t>
            </w:r>
          </w:p>
        </w:tc>
        <w:tc>
          <w:tcPr>
            <w:tcW w:type="dxa" w:w="3389"/>
            <w:vAlign w:val="center"/>
          </w:tcPr>
          <w:p>
            <w:r/>
            <w:r>
              <w:rPr>
                <w:b w:val="0"/>
                <w:sz w:val="17"/>
              </w:rPr>
              <w:t>Random seed.</w:t>
            </w:r>
          </w:p>
        </w:tc>
      </w:tr>
      <w:tr>
        <w:tc>
          <w:tcPr>
            <w:tcW w:type="dxa" w:w="2016"/>
            <w:vAlign w:val="center"/>
          </w:tcPr>
          <w:p>
            <w:r/>
            <w:r>
              <w:rPr>
                <w:b w:val="0"/>
                <w:sz w:val="17"/>
              </w:rPr>
              <w:t>num_repetitions</w:t>
            </w:r>
          </w:p>
        </w:tc>
        <w:tc>
          <w:tcPr>
            <w:tcW w:type="dxa" w:w="3389"/>
            <w:vAlign w:val="center"/>
          </w:tcPr>
          <w:p>
            <w:r/>
            <w:r>
              <w:rPr>
                <w:b w:val="0"/>
                <w:sz w:val="17"/>
              </w:rPr>
              <w:t>10</w:t>
            </w:r>
          </w:p>
        </w:tc>
        <w:tc>
          <w:tcPr>
            <w:tcW w:type="dxa" w:w="3389"/>
            <w:vAlign w:val="center"/>
          </w:tcPr>
          <w:p>
            <w:r/>
            <w:r>
              <w:rPr>
                <w:b w:val="0"/>
                <w:sz w:val="17"/>
              </w:rPr>
              <w:t>Independent repetitions for advanced sampling/generators.</w:t>
            </w:r>
          </w:p>
        </w:tc>
      </w:tr>
      <w:tr>
        <w:tc>
          <w:tcPr>
            <w:tcW w:type="dxa" w:w="2016"/>
            <w:vAlign w:val="center"/>
          </w:tcPr>
          <w:p>
            <w:r/>
            <w:r>
              <w:rPr>
                <w:b w:val="0"/>
                <w:sz w:val="17"/>
              </w:rPr>
              <w:t>random_generator</w:t>
            </w:r>
          </w:p>
        </w:tc>
        <w:tc>
          <w:tcPr>
            <w:tcW w:type="dxa" w:w="3389"/>
            <w:vAlign w:val="center"/>
          </w:tcPr>
          <w:p>
            <w:r/>
            <w:r>
              <w:rPr>
                <w:b w:val="0"/>
                <w:sz w:val="17"/>
              </w:rPr>
              <w:t>'Standard'</w:t>
            </w:r>
          </w:p>
        </w:tc>
        <w:tc>
          <w:tcPr>
            <w:tcW w:type="dxa" w:w="3389"/>
            <w:vAlign w:val="center"/>
          </w:tcPr>
          <w:p>
            <w:r/>
            <w:r>
              <w:rPr>
                <w:b w:val="0"/>
                <w:sz w:val="17"/>
              </w:rPr>
            </w:r>
          </w:p>
        </w:tc>
      </w:tr>
      <w:tr>
        <w:tc>
          <w:tcPr>
            <w:tcW w:type="dxa" w:w="2016"/>
            <w:vAlign w:val="center"/>
          </w:tcPr>
          <w:p>
            <w:r/>
            <w:r>
              <w:rPr>
                <w:b w:val="0"/>
                <w:sz w:val="17"/>
              </w:rPr>
              <w:t>sampling</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wiener</w:t>
            </w:r>
          </w:p>
        </w:tc>
        <w:tc>
          <w:tcPr>
            <w:tcW w:type="dxa" w:w="3389"/>
            <w:vAlign w:val="center"/>
          </w:tcPr>
          <w:p>
            <w:r/>
            <w:r>
              <w:rPr>
                <w:b w:val="0"/>
                <w:sz w:val="17"/>
              </w:rPr>
              <w:t>'Vanilla'</w:t>
            </w:r>
          </w:p>
        </w:tc>
        <w:tc>
          <w:tcPr>
            <w:tcW w:type="dxa" w:w="3389"/>
            <w:vAlign w:val="center"/>
          </w:tcPr>
          <w:p>
            <w:r/>
            <w:r>
              <w:rPr>
                <w:b w:val="0"/>
                <w:sz w:val="17"/>
              </w:rPr>
            </w:r>
          </w:p>
        </w:tc>
      </w:tr>
    </w:tbl>
    <w:p/>
    <w:p>
      <w:pPr>
        <w:pStyle w:val="Heading2"/>
      </w:pPr>
      <w:r>
        <w:t>Main state</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S0</w:t>
            </w:r>
          </w:p>
        </w:tc>
        <w:tc>
          <w:tcPr>
            <w:tcW w:type="dxa" w:w="3389"/>
            <w:vAlign w:val="center"/>
          </w:tcPr>
          <w:p>
            <w:r/>
            <w:r>
              <w:rPr>
                <w:b w:val="0"/>
                <w:sz w:val="17"/>
              </w:rPr>
              <w:t>100.0</w:t>
            </w:r>
          </w:p>
        </w:tc>
        <w:tc>
          <w:tcPr>
            <w:tcW w:type="dxa" w:w="3389"/>
            <w:vAlign w:val="center"/>
          </w:tcPr>
          <w:p>
            <w:r/>
            <w:r>
              <w:rPr>
                <w:b w:val="0"/>
                <w:sz w:val="17"/>
              </w:rPr>
              <w:t>Initial underlying level.</w:t>
            </w:r>
          </w:p>
        </w:tc>
      </w:tr>
      <w:tr>
        <w:tc>
          <w:tcPr>
            <w:tcW w:type="dxa" w:w="2016"/>
            <w:vAlign w:val="center"/>
          </w:tcPr>
          <w:p>
            <w:r/>
            <w:r>
              <w:rPr>
                <w:b w:val="0"/>
                <w:sz w:val="17"/>
              </w:rPr>
              <w:t>sentiment0</w:t>
            </w:r>
          </w:p>
        </w:tc>
        <w:tc>
          <w:tcPr>
            <w:tcW w:type="dxa" w:w="3389"/>
            <w:vAlign w:val="center"/>
          </w:tcPr>
          <w:p>
            <w:r/>
            <w:r>
              <w:rPr>
                <w:b w:val="0"/>
                <w:sz w:val="17"/>
              </w:rPr>
              <w:t>1.0</w:t>
            </w:r>
          </w:p>
        </w:tc>
        <w:tc>
          <w:tcPr>
            <w:tcW w:type="dxa" w:w="3389"/>
            <w:vAlign w:val="center"/>
          </w:tcPr>
          <w:p>
            <w:r/>
            <w:r>
              <w:rPr>
                <w:b w:val="0"/>
                <w:sz w:val="17"/>
              </w:rPr>
              <w:t>Initial sentiment state; 1.0 gives standard GBM scaling.</w:t>
            </w:r>
          </w:p>
        </w:tc>
      </w:tr>
      <w:tr>
        <w:tc>
          <w:tcPr>
            <w:tcW w:type="dxa" w:w="2016"/>
            <w:vAlign w:val="center"/>
          </w:tcPr>
          <w:p>
            <w:r/>
            <w:r>
              <w:rPr>
                <w:b w:val="0"/>
                <w:sz w:val="17"/>
              </w:rPr>
              <w:t>r</w:t>
            </w:r>
          </w:p>
        </w:tc>
        <w:tc>
          <w:tcPr>
            <w:tcW w:type="dxa" w:w="3389"/>
            <w:vAlign w:val="center"/>
          </w:tcPr>
          <w:p>
            <w:r/>
            <w:r>
              <w:rPr>
                <w:b w:val="0"/>
                <w:sz w:val="17"/>
              </w:rPr>
              <w:t>0.05</w:t>
            </w:r>
          </w:p>
        </w:tc>
        <w:tc>
          <w:tcPr>
            <w:tcW w:type="dxa" w:w="3389"/>
            <w:vAlign w:val="center"/>
          </w:tcPr>
          <w:p>
            <w:r/>
            <w:r>
              <w:rPr>
                <w:b w:val="0"/>
                <w:sz w:val="17"/>
              </w:rPr>
              <w:t>Initial/constant risk-free rate.</w:t>
            </w:r>
          </w:p>
        </w:tc>
      </w:tr>
      <w:tr>
        <w:tc>
          <w:tcPr>
            <w:tcW w:type="dxa" w:w="2016"/>
            <w:vAlign w:val="center"/>
          </w:tcPr>
          <w:p>
            <w:r/>
            <w:r>
              <w:rPr>
                <w:b w:val="0"/>
                <w:sz w:val="17"/>
              </w:rPr>
              <w:t>sigma</w:t>
            </w:r>
          </w:p>
        </w:tc>
        <w:tc>
          <w:tcPr>
            <w:tcW w:type="dxa" w:w="3389"/>
            <w:vAlign w:val="center"/>
          </w:tcPr>
          <w:p>
            <w:r/>
            <w:r>
              <w:rPr>
                <w:b w:val="0"/>
                <w:sz w:val="17"/>
              </w:rPr>
              <w:t>0.2</w:t>
            </w:r>
          </w:p>
        </w:tc>
        <w:tc>
          <w:tcPr>
            <w:tcW w:type="dxa" w:w="3389"/>
            <w:vAlign w:val="center"/>
          </w:tcPr>
          <w:p>
            <w:r/>
            <w:r>
              <w:rPr>
                <w:b w:val="0"/>
                <w:sz w:val="17"/>
              </w:rPr>
              <w:t>Initial/constant volatility.</w:t>
            </w:r>
          </w:p>
        </w:tc>
      </w:tr>
      <w:tr>
        <w:tc>
          <w:tcPr>
            <w:tcW w:type="dxa" w:w="2016"/>
            <w:vAlign w:val="center"/>
          </w:tcPr>
          <w:p>
            <w:r/>
            <w:r>
              <w:rPr>
                <w:b w:val="0"/>
                <w:sz w:val="17"/>
              </w:rPr>
              <w:t>y</w:t>
            </w:r>
          </w:p>
        </w:tc>
        <w:tc>
          <w:tcPr>
            <w:tcW w:type="dxa" w:w="3389"/>
            <w:vAlign w:val="center"/>
          </w:tcPr>
          <w:p>
            <w:r/>
            <w:r>
              <w:rPr>
                <w:b w:val="0"/>
                <w:sz w:val="17"/>
              </w:rPr>
              <w:t>0.0</w:t>
            </w:r>
          </w:p>
        </w:tc>
        <w:tc>
          <w:tcPr>
            <w:tcW w:type="dxa" w:w="3389"/>
            <w:vAlign w:val="center"/>
          </w:tcPr>
          <w:p>
            <w:r/>
            <w:r>
              <w:rPr>
                <w:b w:val="0"/>
                <w:sz w:val="17"/>
              </w:rPr>
              <w:t>Dividend yield.</w:t>
            </w:r>
          </w:p>
        </w:tc>
      </w:tr>
      <w:tr>
        <w:tc>
          <w:tcPr>
            <w:tcW w:type="dxa" w:w="2016"/>
            <w:vAlign w:val="center"/>
          </w:tcPr>
          <w:p>
            <w:r/>
            <w:r>
              <w:rPr>
                <w:b w:val="0"/>
                <w:sz w:val="17"/>
              </w:rPr>
              <w:t>T</w:t>
            </w:r>
          </w:p>
        </w:tc>
        <w:tc>
          <w:tcPr>
            <w:tcW w:type="dxa" w:w="3389"/>
            <w:vAlign w:val="center"/>
          </w:tcPr>
          <w:p>
            <w:r/>
            <w:r>
              <w:rPr>
                <w:b w:val="0"/>
                <w:sz w:val="17"/>
              </w:rPr>
              <w:t>1.0</w:t>
            </w:r>
          </w:p>
        </w:tc>
        <w:tc>
          <w:tcPr>
            <w:tcW w:type="dxa" w:w="3389"/>
            <w:vAlign w:val="center"/>
          </w:tcPr>
          <w:p>
            <w:r/>
            <w:r>
              <w:rPr>
                <w:b w:val="0"/>
                <w:sz w:val="17"/>
              </w:rPr>
              <w:t>Maturity in years.</w:t>
            </w:r>
          </w:p>
        </w:tc>
      </w:tr>
      <w:tr>
        <w:tc>
          <w:tcPr>
            <w:tcW w:type="dxa" w:w="2016"/>
            <w:vAlign w:val="center"/>
          </w:tcPr>
          <w:p>
            <w:r/>
            <w:r>
              <w:rPr>
                <w:b w:val="0"/>
                <w:sz w:val="17"/>
              </w:rPr>
              <w:t>K</w:t>
            </w:r>
          </w:p>
        </w:tc>
        <w:tc>
          <w:tcPr>
            <w:tcW w:type="dxa" w:w="3389"/>
            <w:vAlign w:val="center"/>
          </w:tcPr>
          <w:p>
            <w:r/>
            <w:r>
              <w:rPr>
                <w:b w:val="0"/>
                <w:sz w:val="17"/>
              </w:rPr>
              <w:t>100.0</w:t>
            </w:r>
          </w:p>
        </w:tc>
        <w:tc>
          <w:tcPr>
            <w:tcW w:type="dxa" w:w="3389"/>
            <w:vAlign w:val="center"/>
          </w:tcPr>
          <w:p>
            <w:r/>
            <w:r>
              <w:rPr>
                <w:b w:val="0"/>
                <w:sz w:val="17"/>
              </w:rPr>
              <w:t>Strike.</w:t>
            </w:r>
          </w:p>
        </w:tc>
      </w:tr>
    </w:tbl>
    <w:p/>
    <w:p>
      <w:pPr>
        <w:pStyle w:val="Heading2"/>
      </w:pPr>
      <w:r>
        <w:t>Model selections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rate_model</w:t>
            </w:r>
          </w:p>
        </w:tc>
        <w:tc>
          <w:tcPr>
            <w:tcW w:type="dxa" w:w="3389"/>
            <w:vAlign w:val="center"/>
          </w:tcPr>
          <w:p>
            <w:r/>
            <w:r>
              <w:rPr>
                <w:b w:val="0"/>
                <w:sz w:val="17"/>
              </w:rPr>
              <w:t>'Constant'</w:t>
            </w:r>
          </w:p>
        </w:tc>
        <w:tc>
          <w:tcPr>
            <w:tcW w:type="dxa" w:w="3389"/>
            <w:vAlign w:val="center"/>
          </w:tcPr>
          <w:p>
            <w:r/>
            <w:r>
              <w:rPr>
                <w:b w:val="0"/>
                <w:sz w:val="17"/>
              </w:rPr>
            </w:r>
          </w:p>
        </w:tc>
      </w:tr>
      <w:tr>
        <w:tc>
          <w:tcPr>
            <w:tcW w:type="dxa" w:w="2016"/>
            <w:vAlign w:val="center"/>
          </w:tcPr>
          <w:p>
            <w:r/>
            <w:r>
              <w:rPr>
                <w:b w:val="0"/>
                <w:sz w:val="17"/>
              </w:rPr>
              <w:t>volatility_model</w:t>
            </w:r>
          </w:p>
        </w:tc>
        <w:tc>
          <w:tcPr>
            <w:tcW w:type="dxa" w:w="3389"/>
            <w:vAlign w:val="center"/>
          </w:tcPr>
          <w:p>
            <w:r/>
            <w:r>
              <w:rPr>
                <w:b w:val="0"/>
                <w:sz w:val="17"/>
              </w:rPr>
              <w:t>'Constant'</w:t>
            </w:r>
          </w:p>
        </w:tc>
        <w:tc>
          <w:tcPr>
            <w:tcW w:type="dxa" w:w="3389"/>
            <w:vAlign w:val="center"/>
          </w:tcPr>
          <w:p>
            <w:r/>
            <w:r>
              <w:rPr>
                <w:b w:val="0"/>
                <w:sz w:val="17"/>
              </w:rPr>
            </w:r>
          </w:p>
        </w:tc>
      </w:tr>
      <w:tr>
        <w:tc>
          <w:tcPr>
            <w:tcW w:type="dxa" w:w="2016"/>
            <w:vAlign w:val="center"/>
          </w:tcPr>
          <w:p>
            <w:r/>
            <w:r>
              <w:rPr>
                <w:b w:val="0"/>
                <w:sz w:val="17"/>
              </w:rPr>
              <w:t>dividend_model</w:t>
            </w:r>
          </w:p>
        </w:tc>
        <w:tc>
          <w:tcPr>
            <w:tcW w:type="dxa" w:w="3389"/>
            <w:vAlign w:val="center"/>
          </w:tcPr>
          <w:p>
            <w:r/>
            <w:r>
              <w:rPr>
                <w:b w:val="0"/>
                <w:sz w:val="17"/>
              </w:rPr>
              <w:t>'Constant'</w:t>
            </w:r>
          </w:p>
        </w:tc>
        <w:tc>
          <w:tcPr>
            <w:tcW w:type="dxa" w:w="3389"/>
            <w:vAlign w:val="center"/>
          </w:tcPr>
          <w:p>
            <w:r/>
            <w:r>
              <w:rPr>
                <w:b w:val="0"/>
                <w:sz w:val="17"/>
              </w:rPr>
            </w:r>
          </w:p>
        </w:tc>
      </w:tr>
      <w:tr>
        <w:tc>
          <w:tcPr>
            <w:tcW w:type="dxa" w:w="2016"/>
            <w:vAlign w:val="center"/>
          </w:tcPr>
          <w:p>
            <w:r/>
            <w:r>
              <w:rPr>
                <w:b w:val="0"/>
                <w:sz w:val="17"/>
              </w:rPr>
              <w:t>sentiment_model</w:t>
            </w:r>
          </w:p>
        </w:tc>
        <w:tc>
          <w:tcPr>
            <w:tcW w:type="dxa" w:w="3389"/>
            <w:vAlign w:val="center"/>
          </w:tcPr>
          <w:p>
            <w:r/>
            <w:r>
              <w:rPr>
                <w:b w:val="0"/>
                <w:sz w:val="17"/>
              </w:rPr>
              <w:t>'Constant'</w:t>
            </w:r>
          </w:p>
        </w:tc>
        <w:tc>
          <w:tcPr>
            <w:tcW w:type="dxa" w:w="3389"/>
            <w:vAlign w:val="center"/>
          </w:tcPr>
          <w:p>
            <w:r/>
            <w:r>
              <w:rPr>
                <w:b w:val="0"/>
                <w:sz w:val="17"/>
              </w:rPr>
            </w:r>
          </w:p>
        </w:tc>
      </w:tr>
      <w:tr>
        <w:tc>
          <w:tcPr>
            <w:tcW w:type="dxa" w:w="2016"/>
            <w:vAlign w:val="center"/>
          </w:tcPr>
          <w:p>
            <w:r/>
            <w:r>
              <w:rPr>
                <w:b w:val="0"/>
                <w:sz w:val="17"/>
              </w:rPr>
              <w:t>sentiment_vol_model</w:t>
            </w:r>
          </w:p>
        </w:tc>
        <w:tc>
          <w:tcPr>
            <w:tcW w:type="dxa" w:w="3389"/>
            <w:vAlign w:val="center"/>
          </w:tcPr>
          <w:p>
            <w:r/>
            <w:r>
              <w:rPr>
                <w:b w:val="0"/>
                <w:sz w:val="17"/>
              </w:rPr>
              <w:t>'Constant'</w:t>
            </w:r>
          </w:p>
        </w:tc>
        <w:tc>
          <w:tcPr>
            <w:tcW w:type="dxa" w:w="3389"/>
            <w:vAlign w:val="center"/>
          </w:tcPr>
          <w:p>
            <w:r/>
            <w:r>
              <w:rPr>
                <w:b w:val="0"/>
                <w:sz w:val="17"/>
              </w:rPr>
            </w:r>
          </w:p>
        </w:tc>
      </w:tr>
    </w:tbl>
    <w:p/>
    <w:p>
      <w:pPr>
        <w:pStyle w:val="Heading2"/>
      </w:pPr>
      <w:r>
        <w:t>Stock jumps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muJ</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sigmaJ</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Lambda</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jumps</w:t>
            </w:r>
          </w:p>
        </w:tc>
        <w:tc>
          <w:tcPr>
            <w:tcW w:type="dxa" w:w="3389"/>
            <w:vAlign w:val="center"/>
          </w:tcPr>
          <w:p>
            <w:r/>
            <w:r>
              <w:rPr>
                <w:b w:val="0"/>
                <w:sz w:val="17"/>
              </w:rPr>
              <w:t>False</w:t>
            </w:r>
          </w:p>
        </w:tc>
        <w:tc>
          <w:tcPr>
            <w:tcW w:type="dxa" w:w="3389"/>
            <w:vAlign w:val="center"/>
          </w:tcPr>
          <w:p>
            <w:r/>
            <w:r>
              <w:rPr>
                <w:b w:val="0"/>
                <w:sz w:val="17"/>
              </w:rPr>
            </w:r>
          </w:p>
        </w:tc>
      </w:tr>
    </w:tbl>
    <w:p/>
    <w:p>
      <w:pPr>
        <w:pStyle w:val="Heading2"/>
      </w:pPr>
      <w:r>
        <w:t>Rate parameters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theta_t</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sigma_R</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rate_a</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rate_b</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b_t</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sigma_t</w:t>
            </w:r>
          </w:p>
        </w:tc>
        <w:tc>
          <w:tcPr>
            <w:tcW w:type="dxa" w:w="3389"/>
            <w:vAlign w:val="center"/>
          </w:tcPr>
          <w:p>
            <w:r/>
            <w:r>
              <w:rPr>
                <w:b w:val="0"/>
                <w:sz w:val="17"/>
              </w:rPr>
              <w:t>None</w:t>
            </w:r>
          </w:p>
        </w:tc>
        <w:tc>
          <w:tcPr>
            <w:tcW w:type="dxa" w:w="3389"/>
            <w:vAlign w:val="center"/>
          </w:tcPr>
          <w:p>
            <w:r/>
            <w:r>
              <w:rPr>
                <w:b w:val="0"/>
                <w:sz w:val="17"/>
              </w:rPr>
            </w:r>
          </w:p>
        </w:tc>
      </w:tr>
    </w:tbl>
    <w:p/>
    <w:p>
      <w:pPr>
        <w:pStyle w:val="Heading2"/>
      </w:pPr>
      <w:r>
        <w:t>Heston/Bates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gamma</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kappa</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theta</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muJ_Bates</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sigmaJ_Bates</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Lambda_Bates</w:t>
            </w:r>
          </w:p>
        </w:tc>
        <w:tc>
          <w:tcPr>
            <w:tcW w:type="dxa" w:w="3389"/>
            <w:vAlign w:val="center"/>
          </w:tcPr>
          <w:p>
            <w:r/>
            <w:r>
              <w:rPr>
                <w:b w:val="0"/>
                <w:sz w:val="17"/>
              </w:rPr>
              <w:t>0.0</w:t>
            </w:r>
          </w:p>
        </w:tc>
        <w:tc>
          <w:tcPr>
            <w:tcW w:type="dxa" w:w="3389"/>
            <w:vAlign w:val="center"/>
          </w:tcPr>
          <w:p>
            <w:r/>
            <w:r>
              <w:rPr>
                <w:b w:val="0"/>
                <w:sz w:val="17"/>
              </w:rPr>
            </w:r>
          </w:p>
        </w:tc>
      </w:tr>
    </w:tbl>
    <w:p/>
    <w:p>
      <w:pPr>
        <w:pStyle w:val="Heading2"/>
      </w:pPr>
      <w:r>
        <w:t>Dividend</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alphadiv</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betadiv</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divVol</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bdiv</w:t>
            </w:r>
          </w:p>
        </w:tc>
        <w:tc>
          <w:tcPr>
            <w:tcW w:type="dxa" w:w="3389"/>
            <w:vAlign w:val="center"/>
          </w:tcPr>
          <w:p>
            <w:r/>
            <w:r>
              <w:rPr>
                <w:b w:val="0"/>
                <w:sz w:val="17"/>
              </w:rPr>
              <w:t>0.0</w:t>
            </w:r>
          </w:p>
        </w:tc>
        <w:tc>
          <w:tcPr>
            <w:tcW w:type="dxa" w:w="3389"/>
            <w:vAlign w:val="center"/>
          </w:tcPr>
          <w:p>
            <w:r/>
            <w:r>
              <w:rPr>
                <w:b w:val="0"/>
                <w:sz w:val="17"/>
              </w:rPr>
            </w:r>
          </w:p>
        </w:tc>
      </w:tr>
    </w:tbl>
    <w:p/>
    <w:p>
      <w:pPr>
        <w:pStyle w:val="Heading2"/>
      </w:pPr>
      <w:r>
        <w:t>Sentiment</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mu_sent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sigma_sent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muJ_sent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sigmaJ_sent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Lambda_sent</w:t>
            </w:r>
          </w:p>
        </w:tc>
        <w:tc>
          <w:tcPr>
            <w:tcW w:type="dxa" w:w="3389"/>
            <w:vAlign w:val="center"/>
          </w:tcPr>
          <w:p>
            <w:r/>
            <w:r>
              <w:rPr>
                <w:b w:val="0"/>
                <w:sz w:val="17"/>
              </w:rPr>
              <w:t>0.0</w:t>
            </w:r>
          </w:p>
        </w:tc>
        <w:tc>
          <w:tcPr>
            <w:tcW w:type="dxa" w:w="3389"/>
            <w:vAlign w:val="center"/>
          </w:tcPr>
          <w:p>
            <w:r/>
            <w:r>
              <w:rPr>
                <w:b w:val="0"/>
                <w:sz w:val="17"/>
              </w:rPr>
            </w:r>
          </w:p>
        </w:tc>
      </w:tr>
    </w:tbl>
    <w:p/>
    <w:p>
      <w:pPr>
        <w:pStyle w:val="Heading2"/>
      </w:pPr>
      <w:r>
        <w:t>Sentiment volatility</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gamma_sent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kappa_sent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theta_sent</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muJ_sentvol</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sigmaJ_sentvol</w:t>
            </w:r>
          </w:p>
        </w:tc>
        <w:tc>
          <w:tcPr>
            <w:tcW w:type="dxa" w:w="3389"/>
            <w:vAlign w:val="center"/>
          </w:tcPr>
          <w:p>
            <w:r/>
            <w:r>
              <w:rPr>
                <w:b w:val="0"/>
                <w:sz w:val="17"/>
              </w:rPr>
              <w:t>0.0</w:t>
            </w:r>
          </w:p>
        </w:tc>
        <w:tc>
          <w:tcPr>
            <w:tcW w:type="dxa" w:w="3389"/>
            <w:vAlign w:val="center"/>
          </w:tcPr>
          <w:p>
            <w:r/>
            <w:r>
              <w:rPr>
                <w:b w:val="0"/>
                <w:sz w:val="17"/>
              </w:rPr>
            </w:r>
          </w:p>
        </w:tc>
      </w:tr>
      <w:tr>
        <w:tc>
          <w:tcPr>
            <w:tcW w:type="dxa" w:w="2016"/>
            <w:vAlign w:val="center"/>
          </w:tcPr>
          <w:p>
            <w:r/>
            <w:r>
              <w:rPr>
                <w:b w:val="0"/>
                <w:sz w:val="17"/>
              </w:rPr>
              <w:t>Lambda_sentvol</w:t>
            </w:r>
          </w:p>
        </w:tc>
        <w:tc>
          <w:tcPr>
            <w:tcW w:type="dxa" w:w="3389"/>
            <w:vAlign w:val="center"/>
          </w:tcPr>
          <w:p>
            <w:r/>
            <w:r>
              <w:rPr>
                <w:b w:val="0"/>
                <w:sz w:val="17"/>
              </w:rPr>
              <w:t>0.0</w:t>
            </w:r>
          </w:p>
        </w:tc>
        <w:tc>
          <w:tcPr>
            <w:tcW w:type="dxa" w:w="3389"/>
            <w:vAlign w:val="center"/>
          </w:tcPr>
          <w:p>
            <w:r/>
            <w:r>
              <w:rPr>
                <w:b w:val="0"/>
                <w:sz w:val="17"/>
              </w:rPr>
            </w:r>
          </w:p>
        </w:tc>
      </w:tr>
    </w:tbl>
    <w:p/>
    <w:p>
      <w:pPr>
        <w:pStyle w:val="Heading2"/>
      </w:pPr>
      <w:r>
        <w:t>Correlations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correlation2</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correlation3</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correlation4</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correlation5</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correlation6</w:t>
            </w:r>
          </w:p>
        </w:tc>
        <w:tc>
          <w:tcPr>
            <w:tcW w:type="dxa" w:w="3389"/>
            <w:vAlign w:val="center"/>
          </w:tcPr>
          <w:p>
            <w:r/>
            <w:r>
              <w:rPr>
                <w:b w:val="0"/>
                <w:sz w:val="17"/>
              </w:rPr>
              <w:t>None</w:t>
            </w:r>
          </w:p>
        </w:tc>
        <w:tc>
          <w:tcPr>
            <w:tcW w:type="dxa" w:w="3389"/>
            <w:vAlign w:val="center"/>
          </w:tcPr>
          <w:p>
            <w:r/>
            <w:r>
              <w:rPr>
                <w:b w:val="0"/>
                <w:sz w:val="17"/>
              </w:rPr>
            </w:r>
          </w:p>
        </w:tc>
      </w:tr>
    </w:tbl>
    <w:p/>
    <w:p>
      <w:pPr>
        <w:pStyle w:val="Heading2"/>
      </w:pPr>
      <w:r>
        <w:t>Low-level vectors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VanillaParameters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JumpParameters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RateParameters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VolatilityParameters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DividendParameters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SentimentVolParameters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SentimentParameters</w:t>
            </w:r>
          </w:p>
        </w:tc>
        <w:tc>
          <w:tcPr>
            <w:tcW w:type="dxa" w:w="3389"/>
            <w:vAlign w:val="center"/>
          </w:tcPr>
          <w:p>
            <w:r/>
            <w:r>
              <w:rPr>
                <w:b w:val="0"/>
                <w:sz w:val="17"/>
              </w:rPr>
              <w:t>None</w:t>
            </w:r>
          </w:p>
        </w:tc>
        <w:tc>
          <w:tcPr>
            <w:tcW w:type="dxa" w:w="3389"/>
            <w:vAlign w:val="center"/>
          </w:tcPr>
          <w:p>
            <w:r/>
            <w:r>
              <w:rPr>
                <w:b w:val="0"/>
                <w:sz w:val="17"/>
              </w:rPr>
            </w:r>
          </w:p>
        </w:tc>
      </w:tr>
    </w:tbl>
    <w:p/>
    <w:p>
      <w:pPr>
        <w:pStyle w:val="Heading2"/>
      </w:pPr>
      <w:r>
        <w:t>Option structure</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barrier</w:t>
            </w:r>
          </w:p>
        </w:tc>
        <w:tc>
          <w:tcPr>
            <w:tcW w:type="dxa" w:w="3389"/>
            <w:vAlign w:val="center"/>
          </w:tcPr>
          <w:p>
            <w:r/>
            <w:r>
              <w:rPr>
                <w:b w:val="0"/>
                <w:sz w:val="17"/>
              </w:rPr>
              <w:t>None</w:t>
            </w:r>
          </w:p>
        </w:tc>
        <w:tc>
          <w:tcPr>
            <w:tcW w:type="dxa" w:w="3389"/>
            <w:vAlign w:val="center"/>
          </w:tcPr>
          <w:p>
            <w:r/>
            <w:r>
              <w:rPr>
                <w:b w:val="0"/>
                <w:sz w:val="17"/>
              </w:rPr>
              <w:t>Barrier wrapper class.</w:t>
            </w:r>
          </w:p>
        </w:tc>
      </w:tr>
      <w:tr>
        <w:tc>
          <w:tcPr>
            <w:tcW w:type="dxa" w:w="2016"/>
            <w:vAlign w:val="center"/>
          </w:tcPr>
          <w:p>
            <w:r/>
            <w:r>
              <w:rPr>
                <w:b w:val="0"/>
                <w:sz w:val="17"/>
              </w:rPr>
              <w:t>up_barrier</w:t>
            </w:r>
          </w:p>
        </w:tc>
        <w:tc>
          <w:tcPr>
            <w:tcW w:type="dxa" w:w="3389"/>
            <w:vAlign w:val="center"/>
          </w:tcPr>
          <w:p>
            <w:r/>
            <w:r>
              <w:rPr>
                <w:b w:val="0"/>
                <w:sz w:val="17"/>
              </w:rPr>
              <w:t>1000000000000.0</w:t>
            </w:r>
          </w:p>
        </w:tc>
        <w:tc>
          <w:tcPr>
            <w:tcW w:type="dxa" w:w="3389"/>
            <w:vAlign w:val="center"/>
          </w:tcPr>
          <w:p>
            <w:r/>
            <w:r>
              <w:rPr>
                <w:b w:val="0"/>
                <w:sz w:val="17"/>
              </w:rPr>
              <w:t>Upper barrier.</w:t>
            </w:r>
          </w:p>
        </w:tc>
      </w:tr>
      <w:tr>
        <w:tc>
          <w:tcPr>
            <w:tcW w:type="dxa" w:w="2016"/>
            <w:vAlign w:val="center"/>
          </w:tcPr>
          <w:p>
            <w:r/>
            <w:r>
              <w:rPr>
                <w:b w:val="0"/>
                <w:sz w:val="17"/>
              </w:rPr>
              <w:t>down_barrier</w:t>
            </w:r>
          </w:p>
        </w:tc>
        <w:tc>
          <w:tcPr>
            <w:tcW w:type="dxa" w:w="3389"/>
            <w:vAlign w:val="center"/>
          </w:tcPr>
          <w:p>
            <w:r/>
            <w:r>
              <w:rPr>
                <w:b w:val="0"/>
                <w:sz w:val="17"/>
              </w:rPr>
              <w:t>0.0</w:t>
            </w:r>
          </w:p>
        </w:tc>
        <w:tc>
          <w:tcPr>
            <w:tcW w:type="dxa" w:w="3389"/>
            <w:vAlign w:val="center"/>
          </w:tcPr>
          <w:p>
            <w:r/>
            <w:r>
              <w:rPr>
                <w:b w:val="0"/>
                <w:sz w:val="17"/>
              </w:rPr>
              <w:t>Lower barrier.</w:t>
            </w:r>
          </w:p>
        </w:tc>
      </w:tr>
      <w:tr>
        <w:tc>
          <w:tcPr>
            <w:tcW w:type="dxa" w:w="2016"/>
            <w:vAlign w:val="center"/>
          </w:tcPr>
          <w:p>
            <w:r/>
            <w:r>
              <w:rPr>
                <w:b w:val="0"/>
                <w:sz w:val="17"/>
              </w:rPr>
              <w:t>rebate_in</w:t>
            </w:r>
          </w:p>
        </w:tc>
        <w:tc>
          <w:tcPr>
            <w:tcW w:type="dxa" w:w="3389"/>
            <w:vAlign w:val="center"/>
          </w:tcPr>
          <w:p>
            <w:r/>
            <w:r>
              <w:rPr>
                <w:b w:val="0"/>
                <w:sz w:val="17"/>
              </w:rPr>
              <w:t>1.0</w:t>
            </w:r>
          </w:p>
        </w:tc>
        <w:tc>
          <w:tcPr>
            <w:tcW w:type="dxa" w:w="3389"/>
            <w:vAlign w:val="center"/>
          </w:tcPr>
          <w:p>
            <w:r/>
            <w:r>
              <w:rPr>
                <w:b w:val="0"/>
                <w:sz w:val="17"/>
              </w:rPr>
              <w:t>Knock-in rebate parameter.</w:t>
            </w:r>
          </w:p>
        </w:tc>
      </w:tr>
      <w:tr>
        <w:tc>
          <w:tcPr>
            <w:tcW w:type="dxa" w:w="2016"/>
            <w:vAlign w:val="center"/>
          </w:tcPr>
          <w:p>
            <w:r/>
            <w:r>
              <w:rPr>
                <w:b w:val="0"/>
                <w:sz w:val="17"/>
              </w:rPr>
              <w:t>rebate_out</w:t>
            </w:r>
          </w:p>
        </w:tc>
        <w:tc>
          <w:tcPr>
            <w:tcW w:type="dxa" w:w="3389"/>
            <w:vAlign w:val="center"/>
          </w:tcPr>
          <w:p>
            <w:r/>
            <w:r>
              <w:rPr>
                <w:b w:val="0"/>
                <w:sz w:val="17"/>
              </w:rPr>
              <w:t>0.0</w:t>
            </w:r>
          </w:p>
        </w:tc>
        <w:tc>
          <w:tcPr>
            <w:tcW w:type="dxa" w:w="3389"/>
            <w:vAlign w:val="center"/>
          </w:tcPr>
          <w:p>
            <w:r/>
            <w:r>
              <w:rPr>
                <w:b w:val="0"/>
                <w:sz w:val="17"/>
              </w:rPr>
              <w:t>Knock-out rebate parameter.</w:t>
            </w:r>
          </w:p>
        </w:tc>
      </w:tr>
      <w:tr>
        <w:tc>
          <w:tcPr>
            <w:tcW w:type="dxa" w:w="2016"/>
            <w:vAlign w:val="center"/>
          </w:tcPr>
          <w:p>
            <w:r/>
            <w:r>
              <w:rPr>
                <w:b w:val="0"/>
                <w:sz w:val="17"/>
              </w:rPr>
              <w:t>lookback</w:t>
            </w:r>
          </w:p>
        </w:tc>
        <w:tc>
          <w:tcPr>
            <w:tcW w:type="dxa" w:w="3389"/>
            <w:vAlign w:val="center"/>
          </w:tcPr>
          <w:p>
            <w:r/>
            <w:r>
              <w:rPr>
                <w:b w:val="0"/>
                <w:sz w:val="17"/>
              </w:rPr>
              <w:t>None</w:t>
            </w:r>
          </w:p>
        </w:tc>
        <w:tc>
          <w:tcPr>
            <w:tcW w:type="dxa" w:w="3389"/>
            <w:vAlign w:val="center"/>
          </w:tcPr>
          <w:p>
            <w:r/>
            <w:r>
              <w:rPr>
                <w:b w:val="0"/>
                <w:sz w:val="17"/>
              </w:rPr>
              <w:t>Lookback wrapper class.</w:t>
            </w:r>
          </w:p>
        </w:tc>
      </w:tr>
    </w:tbl>
    <w:p/>
    <w:p>
      <w:pPr>
        <w:pStyle w:val="Heading2"/>
      </w:pPr>
      <w:r>
        <w:t>Importance sampling</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importance_sampling</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importance_sampling_mean_tweak</w:t>
            </w:r>
          </w:p>
        </w:tc>
        <w:tc>
          <w:tcPr>
            <w:tcW w:type="dxa" w:w="3389"/>
            <w:vAlign w:val="center"/>
          </w:tcPr>
          <w:p>
            <w:r/>
            <w:r>
              <w:rPr>
                <w:b w:val="0"/>
                <w:sz w:val="17"/>
              </w:rPr>
              <w:t>0.0</w:t>
            </w:r>
          </w:p>
        </w:tc>
        <w:tc>
          <w:tcPr>
            <w:tcW w:type="dxa" w:w="3389"/>
            <w:vAlign w:val="center"/>
          </w:tcPr>
          <w:p>
            <w:r/>
            <w:r>
              <w:rPr>
                <w:b w:val="0"/>
                <w:sz w:val="17"/>
              </w:rPr>
            </w:r>
          </w:p>
        </w:tc>
      </w:tr>
    </w:tbl>
    <w:p/>
    <w:p>
      <w:pPr>
        <w:pStyle w:val="Heading2"/>
      </w:pPr>
      <w:r>
        <w:t>Control variate</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control_variate</w:t>
            </w:r>
          </w:p>
        </w:tc>
        <w:tc>
          <w:tcPr>
            <w:tcW w:type="dxa" w:w="3389"/>
            <w:vAlign w:val="center"/>
          </w:tcPr>
          <w:p>
            <w:r/>
            <w:r>
              <w:rPr>
                <w:b w:val="0"/>
                <w:sz w:val="17"/>
              </w:rPr>
              <w:t>False</w:t>
            </w:r>
          </w:p>
        </w:tc>
        <w:tc>
          <w:tcPr>
            <w:tcW w:type="dxa" w:w="3389"/>
            <w:vAlign w:val="center"/>
          </w:tcPr>
          <w:p>
            <w:r/>
            <w:r>
              <w:rPr>
                <w:b w:val="0"/>
                <w:sz w:val="17"/>
              </w:rPr>
            </w:r>
          </w:p>
        </w:tc>
      </w:tr>
      <w:tr>
        <w:tc>
          <w:tcPr>
            <w:tcW w:type="dxa" w:w="2016"/>
            <w:vAlign w:val="center"/>
          </w:tcPr>
          <w:p>
            <w:r/>
            <w:r>
              <w:rPr>
                <w:b w:val="0"/>
                <w:sz w:val="17"/>
              </w:rPr>
              <w:t>control_underlying</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control_option_type</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control_strike</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control_analytical_value</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control_calibration_paths</w:t>
            </w:r>
          </w:p>
        </w:tc>
        <w:tc>
          <w:tcPr>
            <w:tcW w:type="dxa" w:w="3389"/>
            <w:vAlign w:val="center"/>
          </w:tcPr>
          <w:p>
            <w:r/>
            <w:r>
              <w:rPr>
                <w:b w:val="0"/>
                <w:sz w:val="17"/>
              </w:rPr>
              <w:t>None</w:t>
            </w:r>
          </w:p>
        </w:tc>
        <w:tc>
          <w:tcPr>
            <w:tcW w:type="dxa" w:w="3389"/>
            <w:vAlign w:val="center"/>
          </w:tcPr>
          <w:p>
            <w:r/>
            <w:r>
              <w:rPr>
                <w:b w:val="0"/>
                <w:sz w:val="17"/>
              </w:rPr>
            </w:r>
          </w:p>
        </w:tc>
      </w:tr>
    </w:tbl>
    <w:p/>
    <w:p>
      <w:pPr>
        <w:pStyle w:val="Heading2"/>
      </w:pPr>
      <w:r>
        <w:t>Regression and sensitivities</w:t>
      </w:r>
    </w:p>
    <w:tbl>
      <w:tblPr>
        <w:tblStyle w:val="TableGrid"/>
        <w:tblW w:type="auto" w:w="0"/>
        <w:jc w:val="center"/>
        <w:tblLook w:firstColumn="1" w:firstRow="1" w:lastColumn="0" w:lastRow="0" w:noHBand="0" w:noVBand="1" w:val="04A0"/>
      </w:tblPr>
      <w:tblGrid>
        <w:gridCol w:w="3389"/>
        <w:gridCol w:w="3389"/>
        <w:gridCol w:w="3389"/>
      </w:tblGrid>
      <w:tr>
        <w:tc>
          <w:tcPr>
            <w:tcW w:type="dxa" w:w="2016"/>
            <w:vAlign w:val="center"/>
            <w:shd w:fill="1F4E78"/>
          </w:tcPr>
          <w:p>
            <w:r/>
            <w:r>
              <w:rPr>
                <w:b/>
                <w:color w:val="FFFFFF"/>
                <w:sz w:val="18"/>
              </w:rPr>
              <w:t>Field</w:t>
            </w:r>
          </w:p>
        </w:tc>
        <w:tc>
          <w:tcPr>
            <w:tcW w:type="dxa" w:w="3389"/>
            <w:vAlign w:val="center"/>
            <w:shd w:fill="1F4E78"/>
          </w:tcPr>
          <w:p>
            <w:r/>
            <w:r>
              <w:rPr>
                <w:b/>
                <w:color w:val="FFFFFF"/>
                <w:sz w:val="18"/>
              </w:rPr>
              <w:t>Default</w:t>
            </w:r>
          </w:p>
        </w:tc>
        <w:tc>
          <w:tcPr>
            <w:tcW w:type="dxa" w:w="3389"/>
            <w:vAlign w:val="center"/>
            <w:shd w:fill="1F4E78"/>
          </w:tcPr>
          <w:p>
            <w:r/>
            <w:r>
              <w:rPr>
                <w:b/>
                <w:color w:val="FFFFFF"/>
                <w:sz w:val="18"/>
              </w:rPr>
              <w:t>Purpose</w:t>
            </w:r>
          </w:p>
        </w:tc>
      </w:tr>
      <w:tr>
        <w:tc>
          <w:tcPr>
            <w:tcW w:type="dxa" w:w="2016"/>
            <w:vAlign w:val="center"/>
          </w:tcPr>
          <w:p>
            <w:r/>
            <w:r>
              <w:rPr>
                <w:b w:val="0"/>
                <w:sz w:val="17"/>
              </w:rPr>
              <w:t>regression_degree</w:t>
            </w:r>
          </w:p>
        </w:tc>
        <w:tc>
          <w:tcPr>
            <w:tcW w:type="dxa" w:w="3389"/>
            <w:vAlign w:val="center"/>
          </w:tcPr>
          <w:p>
            <w:r/>
            <w:r>
              <w:rPr>
                <w:b w:val="0"/>
                <w:sz w:val="17"/>
              </w:rPr>
              <w:t>3</w:t>
            </w:r>
          </w:p>
        </w:tc>
        <w:tc>
          <w:tcPr>
            <w:tcW w:type="dxa" w:w="3389"/>
            <w:vAlign w:val="center"/>
          </w:tcPr>
          <w:p>
            <w:r/>
            <w:r>
              <w:rPr>
                <w:b w:val="0"/>
                <w:sz w:val="17"/>
              </w:rPr>
              <w:t>Polynomial degree for LSM.</w:t>
            </w:r>
          </w:p>
        </w:tc>
      </w:tr>
      <w:tr>
        <w:tc>
          <w:tcPr>
            <w:tcW w:type="dxa" w:w="2016"/>
            <w:vAlign w:val="center"/>
          </w:tcPr>
          <w:p>
            <w:r/>
            <w:r>
              <w:rPr>
                <w:b w:val="0"/>
                <w:sz w:val="17"/>
              </w:rPr>
              <w:t>num_exercise_points</w:t>
            </w:r>
          </w:p>
        </w:tc>
        <w:tc>
          <w:tcPr>
            <w:tcW w:type="dxa" w:w="3389"/>
            <w:vAlign w:val="center"/>
          </w:tcPr>
          <w:p>
            <w:r/>
            <w:r>
              <w:rPr>
                <w:b w:val="0"/>
                <w:sz w:val="17"/>
              </w:rPr>
              <w:t>None</w:t>
            </w:r>
          </w:p>
        </w:tc>
        <w:tc>
          <w:tcPr>
            <w:tcW w:type="dxa" w:w="3389"/>
            <w:vAlign w:val="center"/>
          </w:tcPr>
          <w:p>
            <w:r/>
            <w:r>
              <w:rPr>
                <w:b w:val="0"/>
                <w:sz w:val="17"/>
              </w:rPr>
              <w:t>Number of exercise dates.</w:t>
            </w:r>
          </w:p>
        </w:tc>
      </w:tr>
      <w:tr>
        <w:tc>
          <w:tcPr>
            <w:tcW w:type="dxa" w:w="2016"/>
            <w:vAlign w:val="center"/>
          </w:tcPr>
          <w:p>
            <w:r/>
            <w:r>
              <w:rPr>
                <w:b w:val="0"/>
                <w:sz w:val="17"/>
              </w:rPr>
              <w:t>greeks</w:t>
            </w:r>
          </w:p>
        </w:tc>
        <w:tc>
          <w:tcPr>
            <w:tcW w:type="dxa" w:w="3389"/>
            <w:vAlign w:val="center"/>
          </w:tcPr>
          <w:p>
            <w:r/>
            <w:r>
              <w:rPr>
                <w:b w:val="0"/>
                <w:sz w:val="17"/>
              </w:rPr>
              <w:t>False</w:t>
            </w:r>
          </w:p>
        </w:tc>
        <w:tc>
          <w:tcPr>
            <w:tcW w:type="dxa" w:w="3389"/>
            <w:vAlign w:val="center"/>
          </w:tcPr>
          <w:p>
            <w:r/>
            <w:r>
              <w:rPr>
                <w:b w:val="0"/>
                <w:sz w:val="17"/>
              </w:rPr>
              <w:t>Compute first-order sensitivities.</w:t>
            </w:r>
          </w:p>
        </w:tc>
      </w:tr>
      <w:tr>
        <w:tc>
          <w:tcPr>
            <w:tcW w:type="dxa" w:w="2016"/>
            <w:vAlign w:val="center"/>
          </w:tcPr>
          <w:p>
            <w:r/>
            <w:r>
              <w:rPr>
                <w:b w:val="0"/>
                <w:sz w:val="17"/>
              </w:rPr>
              <w:t>Hessian</w:t>
            </w:r>
          </w:p>
        </w:tc>
        <w:tc>
          <w:tcPr>
            <w:tcW w:type="dxa" w:w="3389"/>
            <w:vAlign w:val="center"/>
          </w:tcPr>
          <w:p>
            <w:r/>
            <w:r>
              <w:rPr>
                <w:b w:val="0"/>
                <w:sz w:val="17"/>
              </w:rPr>
              <w:t>False</w:t>
            </w:r>
          </w:p>
        </w:tc>
        <w:tc>
          <w:tcPr>
            <w:tcW w:type="dxa" w:w="3389"/>
            <w:vAlign w:val="center"/>
          </w:tcPr>
          <w:p>
            <w:r/>
            <w:r>
              <w:rPr>
                <w:b w:val="0"/>
                <w:sz w:val="17"/>
              </w:rPr>
              <w:t>Compute Hessian.</w:t>
            </w:r>
          </w:p>
        </w:tc>
      </w:tr>
      <w:tr>
        <w:tc>
          <w:tcPr>
            <w:tcW w:type="dxa" w:w="2016"/>
            <w:vAlign w:val="center"/>
          </w:tcPr>
          <w:p>
            <w:r/>
            <w:r>
              <w:rPr>
                <w:b w:val="0"/>
                <w:sz w:val="17"/>
              </w:rPr>
              <w:t>Perturbation</w:t>
            </w:r>
          </w:p>
        </w:tc>
        <w:tc>
          <w:tcPr>
            <w:tcW w:type="dxa" w:w="3389"/>
            <w:vAlign w:val="center"/>
          </w:tcPr>
          <w:p>
            <w:r/>
            <w:r>
              <w:rPr>
                <w:b w:val="0"/>
                <w:sz w:val="17"/>
              </w:rPr>
              <w:t>0.0001</w:t>
            </w:r>
          </w:p>
        </w:tc>
        <w:tc>
          <w:tcPr>
            <w:tcW w:type="dxa" w:w="3389"/>
            <w:vAlign w:val="center"/>
          </w:tcPr>
          <w:p>
            <w:r/>
            <w:r>
              <w:rPr>
                <w:b w:val="0"/>
                <w:sz w:val="17"/>
              </w:rPr>
              <w:t>Finite-difference bump.</w:t>
            </w:r>
          </w:p>
        </w:tc>
      </w:tr>
      <w:tr>
        <w:tc>
          <w:tcPr>
            <w:tcW w:type="dxa" w:w="2016"/>
            <w:vAlign w:val="center"/>
          </w:tcPr>
          <w:p>
            <w:r/>
            <w:r>
              <w:rPr>
                <w:b w:val="0"/>
                <w:sz w:val="17"/>
              </w:rPr>
              <w:t>sensitivity_parameters</w:t>
            </w:r>
          </w:p>
        </w:tc>
        <w:tc>
          <w:tcPr>
            <w:tcW w:type="dxa" w:w="3389"/>
            <w:vAlign w:val="center"/>
          </w:tcPr>
          <w:p>
            <w:r/>
            <w:r>
              <w:rPr>
                <w:b w:val="0"/>
                <w:sz w:val="17"/>
              </w:rPr>
              <w:t>None</w:t>
            </w:r>
          </w:p>
        </w:tc>
        <w:tc>
          <w:tcPr>
            <w:tcW w:type="dxa" w:w="3389"/>
            <w:vAlign w:val="center"/>
          </w:tcPr>
          <w:p>
            <w:r/>
            <w:r>
              <w:rPr>
                <w:b w:val="0"/>
                <w:sz w:val="17"/>
              </w:rPr>
            </w:r>
          </w:p>
        </w:tc>
      </w:tr>
      <w:tr>
        <w:tc>
          <w:tcPr>
            <w:tcW w:type="dxa" w:w="2016"/>
            <w:vAlign w:val="center"/>
          </w:tcPr>
          <w:p>
            <w:r/>
            <w:r>
              <w:rPr>
                <w:b w:val="0"/>
                <w:sz w:val="17"/>
              </w:rPr>
              <w:t>retained_variables</w:t>
            </w:r>
          </w:p>
        </w:tc>
        <w:tc>
          <w:tcPr>
            <w:tcW w:type="dxa" w:w="3389"/>
            <w:vAlign w:val="center"/>
          </w:tcPr>
          <w:p>
            <w:r/>
            <w:r>
              <w:rPr>
                <w:b w:val="0"/>
                <w:sz w:val="17"/>
              </w:rPr>
              <w:t>False</w:t>
            </w:r>
          </w:p>
        </w:tc>
        <w:tc>
          <w:tcPr>
            <w:tcW w:type="dxa" w:w="3389"/>
            <w:vAlign w:val="center"/>
          </w:tcPr>
          <w:p>
            <w:r/>
            <w:r>
              <w:rPr>
                <w:b w:val="0"/>
                <w:sz w:val="17"/>
              </w:rPr>
              <w:t>Retain additional engine diagnostics.</w:t>
            </w:r>
          </w:p>
        </w:tc>
      </w:tr>
      <w:tr>
        <w:tc>
          <w:tcPr>
            <w:tcW w:type="dxa" w:w="2016"/>
            <w:vAlign w:val="center"/>
          </w:tcPr>
          <w:p>
            <w:r/>
            <w:r>
              <w:rPr>
                <w:b w:val="0"/>
                <w:sz w:val="17"/>
              </w:rPr>
              <w:t>beta</w:t>
            </w:r>
          </w:p>
        </w:tc>
        <w:tc>
          <w:tcPr>
            <w:tcW w:type="dxa" w:w="3389"/>
            <w:vAlign w:val="center"/>
          </w:tcPr>
          <w:p>
            <w:r/>
            <w:r>
              <w:rPr>
                <w:b w:val="0"/>
                <w:sz w:val="17"/>
              </w:rPr>
              <w:t>None</w:t>
            </w:r>
          </w:p>
        </w:tc>
        <w:tc>
          <w:tcPr>
            <w:tcW w:type="dxa" w:w="3389"/>
            <w:vAlign w:val="center"/>
          </w:tcPr>
          <w:p>
            <w:r/>
            <w:r>
              <w:rPr>
                <w:b w:val="0"/>
                <w:sz w:val="17"/>
              </w:rPr>
              <w:t>Optional compatibility parameter.</w:t>
            </w:r>
          </w:p>
        </w:tc>
      </w:tr>
    </w:tbl>
    <w:p/>
    <w:p>
      <w:pPr>
        <w:pStyle w:val="Heading1"/>
      </w:pPr>
      <w:r>
        <w:t>Appendix A. Tested recipes</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Regression file</w:t>
            </w:r>
          </w:p>
        </w:tc>
        <w:tc>
          <w:tcPr>
            <w:tcW w:type="dxa" w:w="5083"/>
            <w:vAlign w:val="center"/>
            <w:shd w:fill="1F4E78"/>
          </w:tcPr>
          <w:p>
            <w:r/>
            <w:r>
              <w:rPr>
                <w:b/>
                <w:color w:val="FFFFFF"/>
                <w:sz w:val="18"/>
              </w:rPr>
              <w:t>Coverage</w:t>
            </w:r>
          </w:p>
        </w:tc>
      </w:tr>
      <w:tr>
        <w:tc>
          <w:tcPr>
            <w:tcW w:type="dxa" w:w="2016"/>
            <w:vAlign w:val="center"/>
          </w:tcPr>
          <w:p>
            <w:r/>
            <w:r>
              <w:rPr>
                <w:b w:val="0"/>
                <w:sz w:val="17"/>
              </w:rPr>
              <w:t>test_01_vanilla_american_API_ONLY(4).py</w:t>
            </w:r>
          </w:p>
        </w:tc>
        <w:tc>
          <w:tcPr>
            <w:tcW w:type="dxa" w:w="5083"/>
            <w:vAlign w:val="center"/>
          </w:tcPr>
          <w:p>
            <w:r/>
            <w:r>
              <w:rPr>
                <w:b w:val="0"/>
                <w:sz w:val="17"/>
              </w:rPr>
              <w:t>longstaff cell, same seed reproducibility</w:t>
            </w:r>
          </w:p>
        </w:tc>
      </w:tr>
      <w:tr>
        <w:tc>
          <w:tcPr>
            <w:tcW w:type="dxa" w:w="2016"/>
            <w:vAlign w:val="center"/>
          </w:tcPr>
          <w:p>
            <w:r/>
            <w:r>
              <w:rPr>
                <w:b w:val="0"/>
                <w:sz w:val="17"/>
              </w:rPr>
              <w:t>test_02_heston_american_API_ONLY(4).py</w:t>
            </w:r>
          </w:p>
        </w:tc>
        <w:tc>
          <w:tcPr>
            <w:tcW w:type="dxa" w:w="5083"/>
            <w:vAlign w:val="center"/>
          </w:tcPr>
          <w:p>
            <w:r/>
            <w:r>
              <w:rPr>
                <w:b w:val="0"/>
                <w:sz w:val="17"/>
              </w:rPr>
              <w:t>heston american call, heston same seed reproducibility</w:t>
            </w:r>
          </w:p>
        </w:tc>
      </w:tr>
      <w:tr>
        <w:tc>
          <w:tcPr>
            <w:tcW w:type="dxa" w:w="2016"/>
            <w:vAlign w:val="center"/>
          </w:tcPr>
          <w:p>
            <w:r/>
            <w:r>
              <w:rPr>
                <w:b w:val="0"/>
                <w:sz w:val="17"/>
              </w:rPr>
              <w:t>test_03_asian_API_ONLY(4).py</w:t>
            </w:r>
          </w:p>
        </w:tc>
        <w:tc>
          <w:tcPr>
            <w:tcW w:type="dxa" w:w="5083"/>
            <w:vAlign w:val="center"/>
          </w:tcPr>
          <w:p>
            <w:r/>
            <w:r>
              <w:rPr>
                <w:b w:val="0"/>
                <w:sz w:val="17"/>
              </w:rPr>
              <w:t>geometric asian api output, arithmetic asian not below geometric, same seed reproducibility</w:t>
            </w:r>
          </w:p>
        </w:tc>
      </w:tr>
      <w:tr>
        <w:tc>
          <w:tcPr>
            <w:tcW w:type="dxa" w:w="2016"/>
            <w:vAlign w:val="center"/>
          </w:tcPr>
          <w:p>
            <w:r/>
            <w:r>
              <w:rPr>
                <w:b w:val="0"/>
                <w:sz w:val="17"/>
              </w:rPr>
              <w:t>test_04_barrier_european_API_ONLY(4).py</w:t>
            </w:r>
          </w:p>
        </w:tc>
        <w:tc>
          <w:tcPr>
            <w:tcW w:type="dxa" w:w="5083"/>
            <w:vAlign w:val="center"/>
          </w:tcPr>
          <w:p>
            <w:r/>
            <w:r>
              <w:rPr>
                <w:b w:val="0"/>
                <w:sz w:val="17"/>
              </w:rPr>
              <w:t>bgk cell and parity, same seed reproducibility</w:t>
            </w:r>
          </w:p>
        </w:tc>
      </w:tr>
      <w:tr>
        <w:tc>
          <w:tcPr>
            <w:tcW w:type="dxa" w:w="2016"/>
            <w:vAlign w:val="center"/>
          </w:tcPr>
          <w:p>
            <w:r/>
            <w:r>
              <w:rPr>
                <w:b w:val="0"/>
                <w:sz w:val="17"/>
              </w:rPr>
              <w:t>test_05_lookback_european_API_ONLY(4).py</w:t>
            </w:r>
          </w:p>
        </w:tc>
        <w:tc>
          <w:tcPr>
            <w:tcW w:type="dxa" w:w="5083"/>
            <w:vAlign w:val="center"/>
          </w:tcPr>
          <w:p>
            <w:r/>
            <w:r>
              <w:rPr>
                <w:b w:val="0"/>
                <w:sz w:val="17"/>
              </w:rPr>
              <w:t>lookback european, same seed reproducibility, floating strike k invariance</w:t>
            </w:r>
          </w:p>
        </w:tc>
      </w:tr>
      <w:tr>
        <w:tc>
          <w:tcPr>
            <w:tcW w:type="dxa" w:w="2016"/>
            <w:vAlign w:val="center"/>
          </w:tcPr>
          <w:p>
            <w:r/>
            <w:r>
              <w:rPr>
                <w:b w:val="0"/>
                <w:sz w:val="17"/>
              </w:rPr>
              <w:t>test_06_barrier_american_API_ONLY(4).py</w:t>
            </w:r>
          </w:p>
        </w:tc>
        <w:tc>
          <w:tcPr>
            <w:tcW w:type="dxa" w:w="5083"/>
            <w:vAlign w:val="center"/>
          </w:tcPr>
          <w:p>
            <w:r/>
            <w:r>
              <w:rPr>
                <w:b w:val="0"/>
                <w:sz w:val="17"/>
              </w:rPr>
              <w:t>down and out call h95, up and out put h105, same seed reproducibility</w:t>
            </w:r>
          </w:p>
        </w:tc>
      </w:tr>
      <w:tr>
        <w:tc>
          <w:tcPr>
            <w:tcW w:type="dxa" w:w="2016"/>
            <w:vAlign w:val="center"/>
          </w:tcPr>
          <w:p>
            <w:r/>
            <w:r>
              <w:rPr>
                <w:b w:val="0"/>
                <w:sz w:val="17"/>
              </w:rPr>
              <w:t>test_07_lookback_american_API_ONLY(3).py</w:t>
            </w:r>
          </w:p>
        </w:tc>
        <w:tc>
          <w:tcPr>
            <w:tcW w:type="dxa" w:w="5083"/>
            <w:vAlign w:val="center"/>
          </w:tcPr>
          <w:p>
            <w:r/>
            <w:r>
              <w:rPr>
                <w:b w:val="0"/>
                <w:sz w:val="17"/>
              </w:rPr>
              <w:t>fixed call premium, floating put premium, floating call no arbitrage, same seed reproducibility</w:t>
            </w:r>
          </w:p>
        </w:tc>
      </w:tr>
      <w:tr>
        <w:tc>
          <w:tcPr>
            <w:tcW w:type="dxa" w:w="2016"/>
            <w:vAlign w:val="center"/>
          </w:tcPr>
          <w:p>
            <w:r/>
            <w:r>
              <w:rPr>
                <w:b w:val="0"/>
                <w:sz w:val="17"/>
              </w:rPr>
              <w:t>test_08_importance_sampling_API_ONLY(4).py</w:t>
            </w:r>
          </w:p>
        </w:tc>
        <w:tc>
          <w:tcPr>
            <w:tcW w:type="dxa" w:w="5083"/>
            <w:vAlign w:val="center"/>
          </w:tcPr>
          <w:p>
            <w:r/>
            <w:r>
              <w:rPr>
                <w:b w:val="0"/>
                <w:sz w:val="17"/>
              </w:rPr>
              <w:t>change of mean2 vanilla, arithmetic asian importance sampling, down and in rare event, up knockout down knockin, same seed reproducibility</w:t>
            </w:r>
          </w:p>
        </w:tc>
      </w:tr>
      <w:tr>
        <w:tc>
          <w:tcPr>
            <w:tcW w:type="dxa" w:w="2016"/>
            <w:vAlign w:val="center"/>
          </w:tcPr>
          <w:p>
            <w:r/>
            <w:r>
              <w:rPr>
                <w:b w:val="0"/>
                <w:sz w:val="17"/>
              </w:rPr>
              <w:t>test_09_compositions_API_ONLY(4).py</w:t>
            </w:r>
          </w:p>
        </w:tc>
        <w:tc>
          <w:tcPr>
            <w:tcW w:type="dxa" w:w="5083"/>
            <w:vAlign w:val="center"/>
          </w:tcPr>
          <w:p>
            <w:r/>
            <w:r>
              <w:rPr>
                <w:b w:val="0"/>
                <w:sz w:val="17"/>
              </w:rPr>
              <w:t>wide dko identity, parity barrier on lookback raw, parity depth3, nested orders are distinct, exercise ordering, configuration resolution, same seed reproducibility</w:t>
            </w:r>
          </w:p>
        </w:tc>
      </w:tr>
      <w:tr>
        <w:tc>
          <w:tcPr>
            <w:tcW w:type="dxa" w:w="2016"/>
            <w:vAlign w:val="center"/>
          </w:tcPr>
          <w:p>
            <w:r/>
            <w:r>
              <w:rPr>
                <w:b w:val="0"/>
                <w:sz w:val="17"/>
              </w:rPr>
              <w:t>test_10_jumps_API_ONLY(4).py</w:t>
            </w:r>
          </w:p>
        </w:tc>
        <w:tc>
          <w:tcPr>
            <w:tcW w:type="dxa" w:w="5083"/>
            <w:vAlign w:val="center"/>
          </w:tcPr>
          <w:p>
            <w:r/>
            <w:r>
              <w:rPr>
                <w:b w:val="0"/>
                <w:sz w:val="17"/>
              </w:rPr>
              <w:t>no jump limit matches plain api, merton jump configuration and effect, jump put call parity, jump pricing is seed deterministic</w:t>
            </w:r>
          </w:p>
        </w:tc>
      </w:tr>
      <w:tr>
        <w:tc>
          <w:tcPr>
            <w:tcW w:type="dxa" w:w="2016"/>
            <w:vAlign w:val="center"/>
          </w:tcPr>
          <w:p>
            <w:r/>
            <w:r>
              <w:rPr>
                <w:b w:val="0"/>
                <w:sz w:val="17"/>
              </w:rPr>
              <w:t>test_12_barriers_mixed_API_ONLY(4).py</w:t>
            </w:r>
          </w:p>
        </w:tc>
        <w:tc>
          <w:tcPr>
            <w:tcW w:type="dxa" w:w="5083"/>
            <w:vAlign w:val="center"/>
          </w:tcPr>
          <w:p>
            <w:r/>
            <w:r>
              <w:rPr>
                <w:b w:val="0"/>
                <w:sz w:val="17"/>
              </w:rPr>
              <w:t>rebate if in is not global multiplier, mixed barrier orders are distinct, upki downko immediate knockout limit, upko downki wide upper limit, mixed barriers do not exceed vanilla, rebate out affects neither event state, configuration resolution, same seed reproducibility</w:t>
            </w:r>
          </w:p>
        </w:tc>
      </w:tr>
    </w:tbl>
    <w:p/>
    <w:p>
      <w:pPr>
        <w:pStyle w:val="Heading1"/>
      </w:pPr>
      <w:r>
        <w:t>Appendix B. Troubleshooting</w:t>
      </w:r>
    </w:p>
    <w:tbl>
      <w:tblPr>
        <w:tblStyle w:val="TableGrid"/>
        <w:tblW w:type="auto" w:w="0"/>
        <w:jc w:val="center"/>
        <w:tblLook w:firstColumn="1" w:firstRow="1" w:lastColumn="0" w:lastRow="0" w:noHBand="0" w:noVBand="1" w:val="04A0"/>
      </w:tblPr>
      <w:tblGrid>
        <w:gridCol w:w="5083"/>
        <w:gridCol w:w="5083"/>
      </w:tblGrid>
      <w:tr>
        <w:tc>
          <w:tcPr>
            <w:tcW w:type="dxa" w:w="2016"/>
            <w:vAlign w:val="center"/>
            <w:shd w:fill="1F4E78"/>
          </w:tcPr>
          <w:p>
            <w:r/>
            <w:r>
              <w:rPr>
                <w:b/>
                <w:color w:val="FFFFFF"/>
                <w:sz w:val="18"/>
              </w:rPr>
              <w:t>Problem</w:t>
            </w:r>
          </w:p>
        </w:tc>
        <w:tc>
          <w:tcPr>
            <w:tcW w:type="dxa" w:w="5083"/>
            <w:vAlign w:val="center"/>
            <w:shd w:fill="1F4E78"/>
          </w:tcPr>
          <w:p>
            <w:r/>
            <w:r>
              <w:rPr>
                <w:b/>
                <w:color w:val="FFFFFF"/>
                <w:sz w:val="18"/>
              </w:rPr>
              <w:t>Resolution</w:t>
            </w:r>
          </w:p>
        </w:tc>
      </w:tr>
      <w:tr>
        <w:tc>
          <w:tcPr>
            <w:tcW w:type="dxa" w:w="2016"/>
            <w:vAlign w:val="center"/>
          </w:tcPr>
          <w:p>
            <w:r>
              <w:t>Validation error: unknown field</w:t>
            </w:r>
          </w:p>
        </w:tc>
        <w:tc>
          <w:tcPr>
            <w:tcW w:type="dxa" w:w="5083"/>
            <w:vAlign w:val="center"/>
          </w:tcPr>
          <w:p>
            <w:r/>
            <w:r>
              <w:rPr>
                <w:b w:val="0"/>
                <w:sz w:val="17"/>
              </w:rPr>
              <w:t>Compare the body with GET /mc/signature. The schema forbids extra fields.</w:t>
            </w:r>
          </w:p>
        </w:tc>
      </w:tr>
      <w:tr>
        <w:tc>
          <w:tcPr>
            <w:tcW w:type="dxa" w:w="2016"/>
            <w:vAlign w:val="center"/>
          </w:tcPr>
          <w:p>
            <w:r>
              <w:t>Validation error: unknown class or model</w:t>
            </w:r>
          </w:p>
        </w:tc>
        <w:tc>
          <w:tcPr>
            <w:tcW w:type="dxa" w:w="5083"/>
            <w:vAlign w:val="center"/>
          </w:tcPr>
          <w:p>
            <w:r/>
            <w:r>
              <w:rPr>
                <w:b w:val="0"/>
                <w:sz w:val="17"/>
              </w:rPr>
              <w:t>Use GET /mc/choices and copy the exact registry spelling.</w:t>
            </w:r>
          </w:p>
        </w:tc>
      </w:tr>
      <w:tr>
        <w:tc>
          <w:tcPr>
            <w:tcW w:type="dxa" w:w="2016"/>
            <w:vAlign w:val="center"/>
          </w:tcPr>
          <w:p>
            <w:r/>
            <w:r>
              <w:rPr>
                <w:b w:val="0"/>
                <w:sz w:val="17"/>
              </w:rPr>
              <w:t>Barrier importance-sampling failure</w:t>
            </w:r>
          </w:p>
        </w:tc>
        <w:tc>
          <w:tcPr>
            <w:tcW w:type="dxa" w:w="5083"/>
            <w:vAlign w:val="center"/>
          </w:tcPr>
          <w:p>
            <w:r/>
            <w:r>
              <w:rPr>
                <w:b w:val="0"/>
                <w:sz w:val="17"/>
              </w:rPr>
              <w:t>Use the matching barrier class and include Barrier in wrapper_order.</w:t>
            </w:r>
          </w:p>
        </w:tc>
      </w:tr>
      <w:tr>
        <w:tc>
          <w:tcPr>
            <w:tcW w:type="dxa" w:w="2016"/>
            <w:vAlign w:val="center"/>
          </w:tcPr>
          <w:p>
            <w:r/>
            <w:r>
              <w:rPr>
                <w:b w:val="0"/>
                <w:sz w:val="17"/>
              </w:rPr>
              <w:t>Arithmetic Asian importance-sampling failure</w:t>
            </w:r>
          </w:p>
        </w:tc>
        <w:tc>
          <w:tcPr>
            <w:tcW w:type="dxa" w:w="5083"/>
            <w:vAlign w:val="center"/>
          </w:tcPr>
          <w:p>
            <w:r/>
            <w:r>
              <w:rPr>
                <w:b w:val="0"/>
                <w:sz w:val="17"/>
              </w:rPr>
              <w:t>Set underlying="PathArithmeticAsianOption".</w:t>
            </w:r>
          </w:p>
        </w:tc>
      </w:tr>
      <w:tr>
        <w:tc>
          <w:tcPr>
            <w:tcW w:type="dxa" w:w="2016"/>
            <w:vAlign w:val="center"/>
          </w:tcPr>
          <w:p>
            <w:r/>
            <w:r>
              <w:rPr>
                <w:b w:val="0"/>
                <w:sz w:val="17"/>
              </w:rPr>
              <w:t>Antithetic failure</w:t>
            </w:r>
          </w:p>
        </w:tc>
        <w:tc>
          <w:tcPr>
            <w:tcW w:type="dxa" w:w="5083"/>
            <w:vAlign w:val="center"/>
          </w:tcPr>
          <w:p>
            <w:r/>
            <w:r>
              <w:rPr>
                <w:b w:val="0"/>
                <w:sz w:val="17"/>
              </w:rPr>
              <w:t>Use an even N and num_repetitions &gt;= 2.</w:t>
            </w:r>
          </w:p>
        </w:tc>
      </w:tr>
      <w:tr>
        <w:tc>
          <w:tcPr>
            <w:tcW w:type="dxa" w:w="2016"/>
            <w:vAlign w:val="center"/>
          </w:tcPr>
          <w:p>
            <w:r/>
            <w:r>
              <w:rPr>
                <w:b w:val="0"/>
                <w:sz w:val="17"/>
              </w:rPr>
              <w:t>Correlation failure</w:t>
            </w:r>
          </w:p>
        </w:tc>
        <w:tc>
          <w:tcPr>
            <w:tcW w:type="dxa" w:w="5083"/>
            <w:vAlign w:val="center"/>
          </w:tcPr>
          <w:p>
            <w:r/>
            <w:r>
              <w:rPr>
                <w:b w:val="0"/>
                <w:sz w:val="17"/>
              </w:rPr>
              <w:t>Supply a symmetric positive-definite matrix with unit diagonal and the exact requested dimension.</w:t>
            </w:r>
          </w:p>
        </w:tc>
      </w:tr>
      <w:tr>
        <w:tc>
          <w:tcPr>
            <w:tcW w:type="dxa" w:w="2016"/>
            <w:vAlign w:val="center"/>
          </w:tcPr>
          <w:p>
            <w:r/>
            <w:r>
              <w:rPr>
                <w:b w:val="0"/>
                <w:sz w:val="17"/>
              </w:rPr>
              <w:t>American/Bermudan failure</w:t>
            </w:r>
          </w:p>
        </w:tc>
        <w:tc>
          <w:tcPr>
            <w:tcW w:type="dxa" w:w="5083"/>
            <w:vAlign w:val="center"/>
          </w:tcPr>
          <w:p>
            <w:r/>
            <w:r>
              <w:rPr>
                <w:b w:val="0"/>
                <w:sz w:val="17"/>
              </w:rPr>
              <w:t>Use a positive num_exercise_points no greater than M.</w:t>
            </w:r>
          </w:p>
        </w:tc>
      </w:tr>
      <w:tr>
        <w:tc>
          <w:tcPr>
            <w:tcW w:type="dxa" w:w="2016"/>
            <w:vAlign w:val="center"/>
          </w:tcPr>
          <w:p>
            <w:r/>
            <w:r>
              <w:rPr>
                <w:b w:val="0"/>
                <w:sz w:val="17"/>
              </w:rPr>
              <w:t>Unexpected result after concurrent requests</w:t>
            </w:r>
          </w:p>
        </w:tc>
        <w:tc>
          <w:tcPr>
            <w:tcW w:type="dxa" w:w="5083"/>
            <w:vAlign w:val="center"/>
          </w:tcPr>
          <w:p>
            <w:r/>
            <w:r>
              <w:rPr>
                <w:b w:val="0"/>
                <w:sz w:val="17"/>
              </w:rPr>
              <w:t>Do not bypass the provided API engine lock; the underlying library uses class-level configuration.</w:t>
            </w:r>
          </w:p>
        </w:tc>
      </w:tr>
      <w:tr>
        <w:tc>
          <w:tcPr>
            <w:tcW w:type="dxa" w:w="2016"/>
            <w:vAlign w:val="center"/>
          </w:tcPr>
          <w:p>
            <w:r/>
            <w:r>
              <w:rPr>
                <w:b w:val="0"/>
                <w:sz w:val="17"/>
              </w:rPr>
              <w:t>Slow requests</w:t>
            </w:r>
          </w:p>
        </w:tc>
        <w:tc>
          <w:tcPr>
            <w:tcW w:type="dxa" w:w="5083"/>
            <w:vAlign w:val="center"/>
          </w:tcPr>
          <w:p>
            <w:r/>
            <w:r>
              <w:rPr>
                <w:b w:val="0"/>
                <w:sz w:val="17"/>
              </w:rPr>
              <w:t>Reduce N, M, repetitions, Greek parameter count or Hessian scope during development, then restore production accuracy settings.</w:t>
            </w:r>
          </w:p>
        </w:tc>
      </w:tr>
      <w:tr>
        <w:tc>
          <w:tcPr>
            <w:tcW w:type="dxa" w:w="2016"/>
            <w:vAlign w:val="center"/>
          </w:tcPr>
          <w:p>
            <w:r/>
            <w:r>
              <w:rPr>
                <w:b w:val="0"/>
                <w:sz w:val="17"/>
              </w:rPr>
              <w:t>Different repeated result</w:t>
            </w:r>
          </w:p>
        </w:tc>
        <w:tc>
          <w:tcPr>
            <w:tcW w:type="dxa" w:w="5083"/>
            <w:vAlign w:val="center"/>
          </w:tcPr>
          <w:p>
            <w:r/>
            <w:r>
              <w:rPr>
                <w:b w:val="0"/>
                <w:sz w:val="17"/>
              </w:rPr>
              <w:t>Confirm the same seed, N, M, generator, sampling, Wiener method, model parameters and library version.</w:t>
            </w:r>
          </w:p>
        </w:tc>
      </w:tr>
      <w:tr>
        <w:tc>
          <w:tcPr>
            <w:tcW w:type="dxa" w:w="5083"/>
          </w:tcPr>
          <w:p>
            <w:r>
              <w:t>Missing API key</w:t>
            </w:r>
          </w:p>
        </w:tc>
        <w:tc>
          <w:tcPr>
            <w:tcW w:type="dxa" w:w="5083"/>
          </w:tcPr>
          <w:p>
            <w:r>
              <w:t>Set OPTIPRICEPROPANDAS_API_KEY in the active terminal. If setx was used, open a new terminal and reactivate the environment.</w:t>
            </w:r>
          </w:p>
        </w:tc>
      </w:tr>
      <w:tr>
        <w:tc>
          <w:tcPr>
            <w:tcW w:type="dxa" w:w="5083"/>
          </w:tcPr>
          <w:p>
            <w:r>
              <w:t>HTTP 401</w:t>
            </w:r>
          </w:p>
        </w:tc>
        <w:tc>
          <w:tcPr>
            <w:tcW w:type="dxa" w:w="5083"/>
          </w:tcPr>
          <w:p>
            <w:r>
              <w:t>Confirm the key is correct, active and within quota. Request a replacement key from the provider when revoked, expired or exhausted.</w:t>
            </w:r>
          </w:p>
        </w:tc>
      </w:tr>
      <w:tr>
        <w:tc>
          <w:tcPr>
            <w:tcW w:type="dxa" w:w="5083"/>
          </w:tcPr>
          <w:p>
            <w:r>
              <w:t>ModuleNotFoundError: optipricepropandas</w:t>
            </w:r>
          </w:p>
        </w:tc>
        <w:tc>
          <w:tcPr>
            <w:tcW w:type="dxa" w:w="5083"/>
          </w:tcPr>
          <w:p>
            <w:r>
              <w:t>Activate the environment in which the supplied wheel was installed, then verify with python -m pip show optipricepropandas.</w:t>
            </w:r>
          </w:p>
        </w:tc>
      </w:tr>
      <w:tr>
        <w:tc>
          <w:tcPr>
            <w:tcW w:type="dxa" w:w="5083"/>
          </w:tcPr>
          <w:p>
            <w:r>
              <w:t>Connection or timeout error</w:t>
            </w:r>
          </w:p>
        </w:tc>
        <w:tc>
          <w:tcPr>
            <w:tcW w:type="dxa" w:w="5083"/>
          </w:tcPr>
          <w:p>
            <w:r>
              <w:t>Confirm that the computer has internet access and retry. Large N, M, repetition, Greek or Hessian requests may require longer processing time.</w:t>
            </w:r>
          </w:p>
        </w:tc>
      </w:tr>
    </w:tbl>
    <w:p/>
    <w:tbl>
      <w:tblPr>
        <w:tblStyle w:val="TableGrid"/>
        <w:tblW w:type="auto" w:w="0"/>
        <w:jc w:val="center"/>
        <w:tblLook w:firstColumn="1" w:firstRow="1" w:lastColumn="0" w:lastRow="0" w:noHBand="0" w:noVBand="1" w:val="04A0"/>
      </w:tblPr>
      <w:tblGrid>
        <w:gridCol w:w="10166"/>
      </w:tblGrid>
      <w:tr>
        <w:tc>
          <w:tcPr>
            <w:tcW w:type="dxa" w:w="10166"/>
            <w:shd w:fill="D9EAD3"/>
          </w:tcPr>
          <w:p>
            <w:r>
              <w:t>Source basis: Authoritative implementation: optipricepropandas/__init__.py; hosted service facade: api_engine.py, api_schemas.py and api_server.py; usage recipes: supplied API_ONLY regression tests. The guide intentionally uses public flat request fields only.</w:t>
            </w:r>
          </w:p>
        </w:tc>
      </w:tr>
    </w:tbl>
    <w:p/>
    <w:p>
      <w:r>
        <w:br w:type="page"/>
      </w:r>
    </w:p>
    <w:p>
      <w:pPr>
        <w:pStyle w:val="Heading1"/>
        <w:keepNext/>
      </w:pPr>
      <w:r>
        <w:t>21. Advanced tutorial: research-grade Python workflows</w:t>
      </w:r>
    </w:p>
    <w:p>
      <w:pPr>
        <w:spacing w:after="120"/>
      </w:pPr>
      <w:r>
        <w:t>This extension turns the supplied regression and diagnostic programs into practical customer tutorials. Each lesson builds a flat Python price() call, explains the fields that matter, and finishes with checks that a production user should perform on the returned result.</w:t>
      </w: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t>Customer convention: All examples call optipricepropandas.price() from the installed wheel. The wheel handles authentication and communication with the hosted service automatically. Do not start Uvicorn or Docker and do not post directly to localhost.</w:t>
            </w:r>
          </w:p>
        </w:tc>
      </w:tr>
    </w:tbl>
    <w:p>
      <w:pPr>
        <w:spacing w:after="20"/>
      </w:pPr>
    </w:p>
    <w:p>
      <w:pPr>
        <w:pStyle w:val="Heading2"/>
        <w:keepNext/>
      </w:pPr>
      <w:r>
        <w:t>21.1 Reusable Python pricing helper</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r>
              <w:t>from optipricepropandas import price</w:t>
              <w:br/>
              <w:br/>
              <w:t>def api_price(payload: dict) -&gt; dict:</w:t>
              <w:br/>
              <w:t xml:space="preserve">    """Submit one flat pricing request through the installed customer wheel."""</w:t>
              <w:br/>
              <w:t xml:space="preserve">    return price(**payload)</w:t>
              <w:br/>
              <w:br/>
              <w:t>result = api_price({</w:t>
              <w:br/>
              <w:t xml:space="preserve">    "exercise": "European",</w:t>
              <w:br/>
              <w:t xml:space="preserve">    "option_type": "Call",</w:t>
              <w:br/>
              <w:t xml:space="preserve">    "underlying": "PathIndependentOption",</w:t>
              <w:br/>
              <w:t xml:space="preserve">    "wrapper_order": "Underlying only",</w:t>
              <w:br/>
              <w:t xml:space="preserve">    "S0": 100.0,</w:t>
              <w:br/>
              <w:t xml:space="preserve">    "K": 100.0,</w:t>
              <w:br/>
              <w:t xml:space="preserve">    "r": 0.05,</w:t>
              <w:br/>
              <w:t xml:space="preserve">    "sigma": 0.20,</w:t>
              <w:br/>
              <w:t xml:space="preserve">    "y": 0.0,</w:t>
              <w:br/>
              <w:t xml:space="preserve">    "T": 1.0,</w:t>
              <w:br/>
              <w:t xml:space="preserve">    "M": 50,</w:t>
              <w:br/>
              <w:t xml:space="preserve">    "N": 20000,</w:t>
              <w:br/>
              <w:t xml:space="preserve">    "seed": 0,</w:t>
              <w:br/>
              <w:t xml:space="preserve">    "greeks": False,</w:t>
              <w:br/>
              <w:t xml:space="preserve">    "retained_variables": False,</w:t>
              <w:br/>
              <w:t>})</w:t>
              <w:br/>
              <w:t>print(result["price"], result["std_error"])</w:t>
            </w:r>
          </w:p>
        </w:tc>
      </w:tr>
    </w:tbl>
    <w:p>
      <w:pPr>
        <w:spacing w:after="20"/>
      </w:pPr>
    </w:p>
    <w:p>
      <w:pPr>
        <w:pStyle w:val="Heading2"/>
        <w:keepNext/>
      </w:pPr>
      <w:r>
        <w:t>21.2 A disciplined validation pattern</w:t>
      </w:r>
    </w:p>
    <w:p>
      <w:pPr>
        <w:pStyle w:val="ListNumber"/>
        <w:spacing w:after="60"/>
      </w:pPr>
      <w:r>
        <w:t>Build one explicit request dictionary; do not rely on unstated defaults in research notebooks.</w:t>
      </w:r>
    </w:p>
    <w:p>
      <w:pPr>
        <w:pStyle w:val="ListNumber"/>
        <w:spacing w:after="60"/>
      </w:pPr>
      <w:r>
        <w:t>Capture price, std_error and config_echo from every response.</w:t>
      </w:r>
    </w:p>
    <w:p>
      <w:pPr>
        <w:pStyle w:val="ListNumber"/>
        <w:spacing w:after="60"/>
      </w:pPr>
      <w:r>
        <w:t>Compare models or products with the same M, N and seed whenever common random numbers are desirable.</w:t>
      </w:r>
    </w:p>
    <w:p>
      <w:pPr>
        <w:pStyle w:val="ListNumber"/>
        <w:spacing w:after="60"/>
      </w:pPr>
      <w:r>
        <w:t>Judge Monte Carlo differences relative to combined standard errors, not by raw decimal differences alone.</w:t>
      </w:r>
    </w:p>
    <w:p>
      <w:pPr>
        <w:pStyle w:val="ListNumber"/>
        <w:spacing w:after="60"/>
      </w:pPr>
      <w:r>
        <w:t>Repeat a representative request with the same seed to verify deterministic reproducibility.</w:t>
      </w:r>
    </w:p>
    <w:p>
      <w:pPr>
        <w:pStyle w:val="ListNumber"/>
        <w:spacing w:after="60"/>
      </w:pPr>
      <w:r>
        <w:t>Increase N and, where relevant, M before treating a numerical discrepancy as a model defect.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import math</w:t>
              <w:br/>
              <w:br/>
              <w:t>def combined_tolerance(left: dict, right: dict, z: float = 4.0) -&gt; float:</w:t>
              <w:br/>
              <w:t xml:space="preserve">    return z * math.sqrt(</w:t>
              <w:br/>
              <w:t xml:space="preserve">        float(left.get("std_error") or 0.0) ** 2</w:t>
              <w:br/>
              <w:t xml:space="preserve">        + float(right.get("std_error") or 0.0) ** 2</w:t>
              <w:br/>
              <w:t xml:space="preserve">    )</w:t>
            </w:r>
          </w:p>
        </w:tc>
      </w:tr>
    </w:tbl>
    <w:p>
      <w:pPr>
        <w:spacing w:after="20"/>
      </w:pPr>
    </w:p>
    <w:p>
      <w:pPr>
        <w:pStyle w:val="Heading1"/>
        <w:keepNext/>
      </w:pPr>
      <w:r>
        <w:t>22. Longstaff-Schwartz Table 1 tutorial</w:t>
      </w:r>
    </w:p>
    <w:p>
      <w:pPr>
        <w:spacing w:after="120"/>
      </w:pPr>
      <w:r>
        <w:t>The Longstaff-Schwartz workflow prices American puts by least-squares Monte Carlo and compares them with both European puts and published Table 1 values. The supplied regression spans spot values 36-44, volatilities 20%-40%, and maturities of one or two years.</w:t>
      </w:r>
    </w:p>
    <w:p>
      <w:pPr>
        <w:pStyle w:val="Heading2"/>
        <w:keepNext/>
      </w:pPr>
      <w:r>
        <w:t>22.1 Construct one American-put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"American",</w:t>
              <w:br/>
              <w:t xml:space="preserve">  "option_type": "Put",</w:t>
              <w:br/>
              <w:t xml:space="preserve">  "underlying": "PathIndependentOption",</w:t>
              <w:br/>
              <w:t xml:space="preserve">  "wrapper_order": "Underlying only",</w:t>
              <w:br/>
              <w:t xml:space="preserve">  "S0": 40.0,</w:t>
              <w:br/>
              <w:t xml:space="preserve">  "K": 40.0,</w:t>
              <w:br/>
              <w:t xml:space="preserve">  "r": 0.06,</w:t>
              <w:br/>
              <w:t xml:space="preserve">  "sigma": 0.20,</w:t>
              <w:br/>
              <w:t xml:space="preserve">  "y": 0.0,</w:t>
              <w:br/>
              <w:t xml:space="preserve">  "T": 1.0,</w:t>
              <w:br/>
              <w:t xml:space="preserve">  "M": 50,</w:t>
              <w:br/>
              <w:t xml:space="preserve">  "N": 50000,</w:t>
              <w:br/>
              <w:t xml:space="preserve">  "seed": 0,</w:t>
              <w:br/>
              <w:t xml:space="preserve">  "regression_degree": 3,</w:t>
              <w:br/>
              <w:t xml:space="preserve">  "num_exercise_points": 50,</w:t>
              <w:br/>
              <w:t xml:space="preserve">  "greeks": false,</w:t>
              <w:br/>
              <w:t xml:space="preserve">  "retained_variables": false</w:t>
              <w:br/>
              <w:t>}</w:t>
            </w:r>
          </w:p>
        </w:tc>
      </w:tr>
    </w:tbl>
    <w:p>
      <w:pPr>
        <w:spacing w:after="20"/>
      </w:pPr>
    </w:p>
    <w:p>
      <w:pPr>
        <w:spacing w:after="120"/>
      </w:pPr>
      <w:r>
        <w:t>Here M is the number of time intervals and num_exercise_points is the number of dates on which the Longstaff-Schwartz exercise decision may be made. The benchmark uses approximately 50 exercise opportunities per year, so a two-year contract uses M=100 and num_exercise_points=100.</w:t>
      </w:r>
    </w:p>
    <w:p>
      <w:pPr>
        <w:pStyle w:val="Heading2"/>
        <w:keepNext/>
      </w:pPr>
      <w:r>
        <w:t>22.2 Compare American and European values</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european_payload = american_payload | {</w:t>
              <w:br/>
              <w:t xml:space="preserve">    "exercise": "European",</w:t>
              <w:br/>
              <w:t xml:space="preserve">    "num_exercise_points": None,</w:t>
              <w:br/>
              <w:t>}</w:t>
              <w:br/>
              <w:br/>
              <w:t>american = api_price(american_payload)</w:t>
              <w:br/>
              <w:t>european = api_price(european_payload)</w:t>
              <w:br/>
              <w:br/>
              <w:t>premium = american["price"] - european["price"]</w:t>
              <w:br/>
              <w:t>print("early-exercise premium:", premium)</w:t>
            </w:r>
          </w:p>
        </w:tc>
      </w:tr>
    </w:tbl>
    <w:p>
      <w:pPr>
        <w:spacing w:after="20"/>
      </w:pPr>
    </w:p>
    <w:p>
      <w:pPr>
        <w:pStyle w:val="ListBullet"/>
        <w:spacing w:after="40"/>
      </w:pPr>
      <w:r>
        <w:t>The American put should not be materially below the corresponding European put.</w:t>
      </w:r>
    </w:p>
    <w:p>
      <w:pPr>
        <w:pStyle w:val="ListBullet"/>
        <w:spacing w:after="40"/>
      </w:pPr>
      <w:r>
        <w:t>The American value should not be below immediate intrinsic value, apart from Monte Carlo tolerance.</w:t>
      </w:r>
    </w:p>
    <w:p>
      <w:pPr>
        <w:pStyle w:val="ListBullet"/>
        <w:spacing w:after="40"/>
      </w:pPr>
      <w:r>
        <w:t>Published benchmark comparisons should combine the API standard error with the reported paper standard error.</w:t>
      </w:r>
    </w:p>
    <w:p>
      <w:pPr>
        <w:pStyle w:val="ListBullet"/>
        <w:spacing w:after="40"/>
      </w:pPr>
      <w:r>
        <w:t>The same request and seed should return exactly the same price and standard error.</w:t>
      </w:r>
    </w:p>
    <w:tbl>
      <w:tblPr>
        <w:tblStyle w:val="TableGrid"/>
        <w:tblW w:type="auto" w:w="0"/>
        <w:jc w:val="center"/>
        <w:tblLook w:firstColumn="1" w:firstRow="1" w:lastColumn="0" w:lastRow="0" w:noHBand="0" w:noVBand="1" w:val="04A0"/>
      </w:tblPr>
      <w:tblGrid>
        <w:gridCol w:w="5083"/>
        <w:gridCol w:w="5083"/>
      </w:tblGrid>
      <w:tr>
        <w:trPr>
          <w:cantSplit/>
        </w:trPr>
        <w:tc>
          <w:tcPr>
            <w:tcW w:type="dxa" w:w="5083"/>
            <w:shd w:fill="1F4E78"/>
            <w:vAlign w:val="center"/>
            <w:tcMar>
              <w:top w:w="80" w:type="dxa"/>
              <w:start w:w="100" w:type="dxa"/>
              <w:bottom w:w="80" w:type="dxa"/>
              <w:end w:w="100" w:type="dxa"/>
            </w:tcMar>
          </w:tcPr>
          <w:p>
            <w:r>
              <w:rPr>
                <w:b/>
                <w:color w:val="FFFFFF"/>
                <w:sz w:val="16"/>
              </w:rPr>
              <w:t>Parameter</w:t>
            </w:r>
          </w:p>
        </w:tc>
        <w:tc>
          <w:tcPr>
            <w:tcW w:type="dxa" w:w="5083"/>
            <w:shd w:fill="1F4E78"/>
            <w:vAlign w:val="center"/>
            <w:tcMar>
              <w:top w:w="80" w:type="dxa"/>
              <w:start w:w="100" w:type="dxa"/>
              <w:bottom w:w="80" w:type="dxa"/>
              <w:end w:w="100" w:type="dxa"/>
            </w:tcMar>
          </w:tcPr>
          <w:p>
            <w:r>
              <w:rPr>
                <w:b/>
                <w:color w:val="FFFFFF"/>
                <w:sz w:val="16"/>
              </w:rPr>
              <w:t>Benchmark grid</w:t>
            </w:r>
          </w:p>
        </w:tc>
      </w:tr>
      <w:tr>
        <w:trPr>
          <w:cantSplit/>
        </w:trPr>
        <w:tc>
          <w:tcPr>
            <w:tcW w:type="dxa" w:w="5083"/>
            <w:tcMar>
              <w:top w:w="80" w:type="dxa"/>
              <w:start w:w="100" w:type="dxa"/>
              <w:bottom w:w="80" w:type="dxa"/>
              <w:end w:w="100" w:type="dxa"/>
            </w:tcMar>
            <w:vAlign w:val="top"/>
          </w:tcPr>
          <w:p>
            <w:r>
              <w:rPr>
                <w:sz w:val="16"/>
              </w:rPr>
              <w:t>S0</w:t>
            </w:r>
          </w:p>
        </w:tc>
        <w:tc>
          <w:tcPr>
            <w:tcW w:type="dxa" w:w="5083"/>
            <w:tcMar>
              <w:top w:w="80" w:type="dxa"/>
              <w:start w:w="100" w:type="dxa"/>
              <w:bottom w:w="80" w:type="dxa"/>
              <w:end w:w="100" w:type="dxa"/>
            </w:tcMar>
            <w:vAlign w:val="top"/>
          </w:tcPr>
          <w:p>
            <w:r>
              <w:rPr>
                <w:sz w:val="16"/>
              </w:rPr>
              <w:t>36, 38, 40, 42, 44</w:t>
            </w:r>
          </w:p>
        </w:tc>
      </w:tr>
      <w:tr>
        <w:trPr>
          <w:cantSplit/>
        </w:trPr>
        <w:tc>
          <w:tcPr>
            <w:tcW w:type="dxa" w:w="5083"/>
            <w:tcMar>
              <w:top w:w="80" w:type="dxa"/>
              <w:start w:w="100" w:type="dxa"/>
              <w:bottom w:w="80" w:type="dxa"/>
              <w:end w:w="100" w:type="dxa"/>
            </w:tcMar>
            <w:vAlign w:val="top"/>
          </w:tcPr>
          <w:p>
            <w:r>
              <w:rPr>
                <w:sz w:val="16"/>
              </w:rPr>
              <w:t>sigma</w:t>
            </w:r>
          </w:p>
        </w:tc>
        <w:tc>
          <w:tcPr>
            <w:tcW w:type="dxa" w:w="5083"/>
            <w:tcMar>
              <w:top w:w="80" w:type="dxa"/>
              <w:start w:w="100" w:type="dxa"/>
              <w:bottom w:w="80" w:type="dxa"/>
              <w:end w:w="100" w:type="dxa"/>
            </w:tcMar>
            <w:vAlign w:val="top"/>
          </w:tcPr>
          <w:p>
            <w:r>
              <w:rPr>
                <w:sz w:val="16"/>
              </w:rPr>
              <w:t>0.20 and 0.40</w:t>
            </w:r>
          </w:p>
        </w:tc>
      </w:tr>
      <w:tr>
        <w:trPr>
          <w:cantSplit/>
        </w:trPr>
        <w:tc>
          <w:tcPr>
            <w:tcW w:type="dxa" w:w="5083"/>
            <w:tcMar>
              <w:top w:w="80" w:type="dxa"/>
              <w:start w:w="100" w:type="dxa"/>
              <w:bottom w:w="80" w:type="dxa"/>
              <w:end w:w="100" w:type="dxa"/>
            </w:tcMar>
            <w:vAlign w:val="top"/>
          </w:tcPr>
          <w:p>
            <w:r>
              <w:rPr>
                <w:sz w:val="16"/>
              </w:rPr>
              <w:t>T</w:t>
            </w:r>
          </w:p>
        </w:tc>
        <w:tc>
          <w:tcPr>
            <w:tcW w:type="dxa" w:w="5083"/>
            <w:tcMar>
              <w:top w:w="80" w:type="dxa"/>
              <w:start w:w="100" w:type="dxa"/>
              <w:bottom w:w="80" w:type="dxa"/>
              <w:end w:w="100" w:type="dxa"/>
            </w:tcMar>
            <w:vAlign w:val="top"/>
          </w:tcPr>
          <w:p>
            <w:r>
              <w:rPr>
                <w:sz w:val="16"/>
              </w:rPr>
              <w:t>1.0 and 2.0 years</w:t>
            </w:r>
          </w:p>
        </w:tc>
      </w:tr>
      <w:tr>
        <w:trPr>
          <w:cantSplit/>
        </w:trPr>
        <w:tc>
          <w:tcPr>
            <w:tcW w:type="dxa" w:w="5083"/>
            <w:tcMar>
              <w:top w:w="80" w:type="dxa"/>
              <w:start w:w="100" w:type="dxa"/>
              <w:bottom w:w="80" w:type="dxa"/>
              <w:end w:w="100" w:type="dxa"/>
            </w:tcMar>
            <w:vAlign w:val="top"/>
          </w:tcPr>
          <w:p>
            <w:r>
              <w:rPr>
                <w:sz w:val="16"/>
              </w:rPr>
              <w:t>K</w:t>
            </w:r>
          </w:p>
        </w:tc>
        <w:tc>
          <w:tcPr>
            <w:tcW w:type="dxa" w:w="5083"/>
            <w:tcMar>
              <w:top w:w="80" w:type="dxa"/>
              <w:start w:w="100" w:type="dxa"/>
              <w:bottom w:w="80" w:type="dxa"/>
              <w:end w:w="100" w:type="dxa"/>
            </w:tcMar>
            <w:vAlign w:val="top"/>
          </w:tcPr>
          <w:p>
            <w:r>
              <w:rPr>
                <w:sz w:val="16"/>
              </w:rPr>
              <w:t>40</w:t>
            </w:r>
          </w:p>
        </w:tc>
      </w:tr>
      <w:tr>
        <w:trPr>
          <w:cantSplit/>
        </w:trPr>
        <w:tc>
          <w:tcPr>
            <w:tcW w:type="dxa" w:w="5083"/>
            <w:tcMar>
              <w:top w:w="80" w:type="dxa"/>
              <w:start w:w="100" w:type="dxa"/>
              <w:bottom w:w="80" w:type="dxa"/>
              <w:end w:w="100" w:type="dxa"/>
            </w:tcMar>
            <w:vAlign w:val="top"/>
          </w:tcPr>
          <w:p>
            <w:r>
              <w:rPr>
                <w:sz w:val="16"/>
              </w:rPr>
              <w:t>r</w:t>
            </w:r>
          </w:p>
        </w:tc>
        <w:tc>
          <w:tcPr>
            <w:tcW w:type="dxa" w:w="5083"/>
            <w:tcMar>
              <w:top w:w="80" w:type="dxa"/>
              <w:start w:w="100" w:type="dxa"/>
              <w:bottom w:w="80" w:type="dxa"/>
              <w:end w:w="100" w:type="dxa"/>
            </w:tcMar>
            <w:vAlign w:val="top"/>
          </w:tcPr>
          <w:p>
            <w:r>
              <w:rPr>
                <w:sz w:val="16"/>
              </w:rPr>
              <w:t>0.06</w:t>
            </w:r>
          </w:p>
        </w:tc>
      </w:tr>
      <w:tr>
        <w:trPr>
          <w:cantSplit/>
        </w:trPr>
        <w:tc>
          <w:tcPr>
            <w:tcW w:type="dxa" w:w="5083"/>
            <w:tcMar>
              <w:top w:w="80" w:type="dxa"/>
              <w:start w:w="100" w:type="dxa"/>
              <w:bottom w:w="80" w:type="dxa"/>
              <w:end w:w="100" w:type="dxa"/>
            </w:tcMar>
            <w:vAlign w:val="top"/>
          </w:tcPr>
          <w:p>
            <w:r>
              <w:rPr>
                <w:sz w:val="16"/>
              </w:rPr>
              <w:t>exercise frequency</w:t>
            </w:r>
          </w:p>
        </w:tc>
        <w:tc>
          <w:tcPr>
            <w:tcW w:type="dxa" w:w="5083"/>
            <w:tcMar>
              <w:top w:w="80" w:type="dxa"/>
              <w:start w:w="100" w:type="dxa"/>
              <w:bottom w:w="80" w:type="dxa"/>
              <w:end w:w="100" w:type="dxa"/>
            </w:tcMar>
            <w:vAlign w:val="top"/>
          </w:tcPr>
          <w:p>
            <w:r>
              <w:rPr>
                <w:sz w:val="16"/>
              </w:rPr>
              <w:t>50 dates per year</w:t>
            </w:r>
          </w:p>
        </w:tc>
      </w:tr>
      <w:tr>
        <w:trPr>
          <w:cantSplit/>
        </w:trPr>
        <w:tc>
          <w:tcPr>
            <w:tcW w:type="dxa" w:w="5083"/>
            <w:tcMar>
              <w:top w:w="80" w:type="dxa"/>
              <w:start w:w="100" w:type="dxa"/>
              <w:bottom w:w="80" w:type="dxa"/>
              <w:end w:w="100" w:type="dxa"/>
            </w:tcMar>
            <w:vAlign w:val="top"/>
          </w:tcPr>
          <w:p>
            <w:r>
              <w:rPr>
                <w:sz w:val="16"/>
              </w:rPr>
              <w:t>regression_degree</w:t>
            </w:r>
          </w:p>
        </w:tc>
        <w:tc>
          <w:tcPr>
            <w:tcW w:type="dxa" w:w="5083"/>
            <w:tcMar>
              <w:top w:w="80" w:type="dxa"/>
              <w:start w:w="100" w:type="dxa"/>
              <w:bottom w:w="80" w:type="dxa"/>
              <w:end w:w="100" w:type="dxa"/>
            </w:tcMar>
            <w:vAlign w:val="top"/>
          </w:tcPr>
          <w:p>
            <w:r>
              <w:rPr>
                <w:sz w:val="16"/>
              </w:rPr>
              <w:t>3</w:t>
            </w:r>
          </w:p>
        </w:tc>
      </w:tr>
    </w:tbl>
    <w:p>
      <w:pPr>
        <w:spacing w:after="40"/>
      </w:pPr>
    </w:p>
    <w:p>
      <w:pPr>
        <w:pStyle w:val="Heading1"/>
        <w:keepNext/>
      </w:pPr>
      <w:r>
        <w:t>23. Heston American-call Table 3 tutorial</w:t>
      </w:r>
    </w:p>
    <w:p>
      <w:pPr>
        <w:spacing w:after="120"/>
      </w:pPr>
      <w:r>
        <w:t>This tutorial prices dividend-paying American calls under Heston stochastic volatility. It reproduces the parameter structure used in the Ait-Sahlia, Goswami and Guha Table 3 regression: initial volatility 20%, mean reversion 4, long-run variance 0.09, volatility of variance 0.10, and zero spot-variance correlation.</w:t>
      </w:r>
    </w:p>
    <w:p>
      <w:pPr>
        <w:pStyle w:val="Heading2"/>
        <w:keepNext/>
      </w:pPr>
      <w:r>
        <w:t>23.1 Heston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"American",</w:t>
              <w:br/>
              <w:t xml:space="preserve">  "option_type": "Call",</w:t>
              <w:br/>
              <w:t xml:space="preserve">  "underlying": "PathIndependentOption",</w:t>
              <w:br/>
              <w:t xml:space="preserve">  "wrapper_order": "Underlying only",</w:t>
              <w:br/>
              <w:t xml:space="preserve">  "volatility_model": "Heston",</w:t>
              <w:br/>
              <w:t xml:space="preserve">  "gamma": 0.10,</w:t>
              <w:br/>
              <w:t xml:space="preserve">  "kappa": 4.0,</w:t>
              <w:br/>
              <w:t xml:space="preserve">  "theta": 0.09,</w:t>
              <w:br/>
              <w:t xml:space="preserve">  "correlation2": [[1.0, 0.0], [0.0, 1.0]],</w:t>
              <w:br/>
              <w:t xml:space="preserve">  "S0": 110.0,</w:t>
              <w:br/>
              <w:t xml:space="preserve">  "K": 100.0,</w:t>
              <w:br/>
              <w:t xml:space="preserve">  "r": 0.03,</w:t>
              <w:br/>
              <w:t xml:space="preserve">  "sigma": 0.20,</w:t>
              <w:br/>
              <w:t xml:space="preserve">  "y": 0.05,</w:t>
              <w:br/>
              <w:t xml:space="preserve">  "T": 1.0,</w:t>
              <w:br/>
              <w:t xml:space="preserve">  "M": 50,</w:t>
              <w:br/>
              <w:t xml:space="preserve">  "N": 50000,</w:t>
              <w:br/>
              <w:t xml:space="preserve">  "seed": 0,</w:t>
              <w:br/>
              <w:t xml:space="preserve">  "regression_degree": 5,</w:t>
              <w:br/>
              <w:t xml:space="preserve">  "num_exercise_points": 50</w:t>
              <w:br/>
              <w:t>}</w:t>
            </w:r>
          </w:p>
        </w:tc>
      </w:tr>
    </w:tbl>
    <w:p>
      <w:pPr>
        <w:spacing w:after="20"/>
      </w:pPr>
    </w:p>
    <w:tbl>
      <w:tblPr>
        <w:tblStyle w:val="TableGrid"/>
        <w:tblW w:type="auto" w:w="0"/>
        <w:jc w:val="center"/>
        <w:tblLook w:firstColumn="1" w:firstRow="1" w:lastColumn="0" w:lastRow="0" w:noHBand="0" w:noVBand="1" w:val="04A0"/>
      </w:tblPr>
      <w:tblGrid>
        <w:gridCol w:w="5083"/>
        <w:gridCol w:w="5083"/>
      </w:tblGrid>
      <w:tr>
        <w:trPr>
          <w:cantSplit/>
        </w:trPr>
        <w:tc>
          <w:tcPr>
            <w:tcW w:type="dxa" w:w="5083"/>
            <w:shd w:fill="1F4E78"/>
            <w:vAlign w:val="center"/>
            <w:tcMar>
              <w:top w:w="80" w:type="dxa"/>
              <w:start w:w="100" w:type="dxa"/>
              <w:bottom w:w="80" w:type="dxa"/>
              <w:end w:w="100" w:type="dxa"/>
            </w:tcMar>
          </w:tcPr>
          <w:p>
            <w:r>
              <w:rPr>
                <w:b/>
                <w:color w:val="FFFFFF"/>
                <w:sz w:val="16"/>
              </w:rPr>
              <w:t>Field</w:t>
            </w:r>
          </w:p>
        </w:tc>
        <w:tc>
          <w:tcPr>
            <w:tcW w:type="dxa" w:w="5083"/>
            <w:shd w:fill="1F4E78"/>
            <w:vAlign w:val="center"/>
            <w:tcMar>
              <w:top w:w="80" w:type="dxa"/>
              <w:start w:w="100" w:type="dxa"/>
              <w:bottom w:w="80" w:type="dxa"/>
              <w:end w:w="100" w:type="dxa"/>
            </w:tcMar>
          </w:tcPr>
          <w:p>
            <w:r>
              <w:rPr>
                <w:b/>
                <w:color w:val="FFFFFF"/>
                <w:sz w:val="16"/>
              </w:rPr>
              <w:t>Interpretation</w:t>
            </w:r>
          </w:p>
        </w:tc>
      </w:tr>
      <w:tr>
        <w:trPr>
          <w:cantSplit/>
        </w:trPr>
        <w:tc>
          <w:tcPr>
            <w:tcW w:type="dxa" w:w="5083"/>
            <w:tcMar>
              <w:top w:w="80" w:type="dxa"/>
              <w:start w:w="100" w:type="dxa"/>
              <w:bottom w:w="80" w:type="dxa"/>
              <w:end w:w="100" w:type="dxa"/>
            </w:tcMar>
            <w:vAlign w:val="top"/>
          </w:tcPr>
          <w:p>
            <w:r>
              <w:rPr>
                <w:sz w:val="16"/>
              </w:rPr>
              <w:t>sigma</w:t>
            </w:r>
          </w:p>
        </w:tc>
        <w:tc>
          <w:tcPr>
            <w:tcW w:type="dxa" w:w="5083"/>
            <w:tcMar>
              <w:top w:w="80" w:type="dxa"/>
              <w:start w:w="100" w:type="dxa"/>
              <w:bottom w:w="80" w:type="dxa"/>
              <w:end w:w="100" w:type="dxa"/>
            </w:tcMar>
            <w:vAlign w:val="top"/>
          </w:tcPr>
          <w:p>
            <w:r>
              <w:rPr>
                <w:sz w:val="16"/>
              </w:rPr>
              <w:t>Initial volatility; the initial variance is sigma squared.</w:t>
            </w:r>
          </w:p>
        </w:tc>
      </w:tr>
      <w:tr>
        <w:trPr>
          <w:cantSplit/>
        </w:trPr>
        <w:tc>
          <w:tcPr>
            <w:tcW w:type="dxa" w:w="5083"/>
            <w:tcMar>
              <w:top w:w="80" w:type="dxa"/>
              <w:start w:w="100" w:type="dxa"/>
              <w:bottom w:w="80" w:type="dxa"/>
              <w:end w:w="100" w:type="dxa"/>
            </w:tcMar>
            <w:vAlign w:val="top"/>
          </w:tcPr>
          <w:p>
            <w:r>
              <w:rPr>
                <w:sz w:val="16"/>
              </w:rPr>
              <w:t>kappa</w:t>
            </w:r>
          </w:p>
        </w:tc>
        <w:tc>
          <w:tcPr>
            <w:tcW w:type="dxa" w:w="5083"/>
            <w:tcMar>
              <w:top w:w="80" w:type="dxa"/>
              <w:start w:w="100" w:type="dxa"/>
              <w:bottom w:w="80" w:type="dxa"/>
              <w:end w:w="100" w:type="dxa"/>
            </w:tcMar>
            <w:vAlign w:val="top"/>
          </w:tcPr>
          <w:p>
            <w:r>
              <w:rPr>
                <w:sz w:val="16"/>
              </w:rPr>
              <w:t>Variance mean-reversion speed.</w:t>
            </w:r>
          </w:p>
        </w:tc>
      </w:tr>
      <w:tr>
        <w:trPr>
          <w:cantSplit/>
        </w:trPr>
        <w:tc>
          <w:tcPr>
            <w:tcW w:type="dxa" w:w="5083"/>
            <w:tcMar>
              <w:top w:w="80" w:type="dxa"/>
              <w:start w:w="100" w:type="dxa"/>
              <w:bottom w:w="80" w:type="dxa"/>
              <w:end w:w="100" w:type="dxa"/>
            </w:tcMar>
            <w:vAlign w:val="top"/>
          </w:tcPr>
          <w:p>
            <w:r>
              <w:rPr>
                <w:sz w:val="16"/>
              </w:rPr>
              <w:t>theta</w:t>
            </w:r>
          </w:p>
        </w:tc>
        <w:tc>
          <w:tcPr>
            <w:tcW w:type="dxa" w:w="5083"/>
            <w:tcMar>
              <w:top w:w="80" w:type="dxa"/>
              <w:start w:w="100" w:type="dxa"/>
              <w:bottom w:w="80" w:type="dxa"/>
              <w:end w:w="100" w:type="dxa"/>
            </w:tcMar>
            <w:vAlign w:val="top"/>
          </w:tcPr>
          <w:p>
            <w:r>
              <w:rPr>
                <w:sz w:val="16"/>
              </w:rPr>
              <w:t>Long-run variance level.</w:t>
            </w:r>
          </w:p>
        </w:tc>
      </w:tr>
      <w:tr>
        <w:trPr>
          <w:cantSplit/>
        </w:trPr>
        <w:tc>
          <w:tcPr>
            <w:tcW w:type="dxa" w:w="5083"/>
            <w:tcMar>
              <w:top w:w="80" w:type="dxa"/>
              <w:start w:w="100" w:type="dxa"/>
              <w:bottom w:w="80" w:type="dxa"/>
              <w:end w:w="100" w:type="dxa"/>
            </w:tcMar>
            <w:vAlign w:val="top"/>
          </w:tcPr>
          <w:p>
            <w:r>
              <w:rPr>
                <w:sz w:val="16"/>
              </w:rPr>
              <w:t>gamma</w:t>
            </w:r>
          </w:p>
        </w:tc>
        <w:tc>
          <w:tcPr>
            <w:tcW w:type="dxa" w:w="5083"/>
            <w:tcMar>
              <w:top w:w="80" w:type="dxa"/>
              <w:start w:w="100" w:type="dxa"/>
              <w:bottom w:w="80" w:type="dxa"/>
              <w:end w:w="100" w:type="dxa"/>
            </w:tcMar>
            <w:vAlign w:val="top"/>
          </w:tcPr>
          <w:p>
            <w:r>
              <w:rPr>
                <w:sz w:val="16"/>
              </w:rPr>
              <w:t>Volatility of variance.</w:t>
            </w:r>
          </w:p>
        </w:tc>
      </w:tr>
      <w:tr>
        <w:trPr>
          <w:cantSplit/>
        </w:trPr>
        <w:tc>
          <w:tcPr>
            <w:tcW w:type="dxa" w:w="5083"/>
            <w:tcMar>
              <w:top w:w="80" w:type="dxa"/>
              <w:start w:w="100" w:type="dxa"/>
              <w:bottom w:w="80" w:type="dxa"/>
              <w:end w:w="100" w:type="dxa"/>
            </w:tcMar>
            <w:vAlign w:val="top"/>
          </w:tcPr>
          <w:p>
            <w:r>
              <w:rPr>
                <w:sz w:val="16"/>
              </w:rPr>
              <w:t>correlation2</w:t>
            </w:r>
          </w:p>
        </w:tc>
        <w:tc>
          <w:tcPr>
            <w:tcW w:type="dxa" w:w="5083"/>
            <w:tcMar>
              <w:top w:w="80" w:type="dxa"/>
              <w:start w:w="100" w:type="dxa"/>
              <w:bottom w:w="80" w:type="dxa"/>
              <w:end w:w="100" w:type="dxa"/>
            </w:tcMar>
            <w:vAlign w:val="top"/>
          </w:tcPr>
          <w:p>
            <w:r>
              <w:rPr>
                <w:sz w:val="16"/>
              </w:rPr>
              <w:t>Correlation matrix for stock and variance factors.</w:t>
            </w:r>
          </w:p>
        </w:tc>
      </w:tr>
      <w:tr>
        <w:trPr>
          <w:cantSplit/>
        </w:trPr>
        <w:tc>
          <w:tcPr>
            <w:tcW w:type="dxa" w:w="5083"/>
            <w:tcMar>
              <w:top w:w="80" w:type="dxa"/>
              <w:start w:w="100" w:type="dxa"/>
              <w:bottom w:w="80" w:type="dxa"/>
              <w:end w:w="100" w:type="dxa"/>
            </w:tcMar>
            <w:vAlign w:val="top"/>
          </w:tcPr>
          <w:p>
            <w:r>
              <w:rPr>
                <w:sz w:val="16"/>
              </w:rPr>
              <w:t>y</w:t>
            </w:r>
          </w:p>
        </w:tc>
        <w:tc>
          <w:tcPr>
            <w:tcW w:type="dxa" w:w="5083"/>
            <w:tcMar>
              <w:top w:w="80" w:type="dxa"/>
              <w:start w:w="100" w:type="dxa"/>
              <w:bottom w:w="80" w:type="dxa"/>
              <w:end w:w="100" w:type="dxa"/>
            </w:tcMar>
            <w:vAlign w:val="top"/>
          </w:tcPr>
          <w:p>
            <w:r>
              <w:rPr>
                <w:sz w:val="16"/>
              </w:rPr>
              <w:t>Continuous dividend yield; positive yield can create early-exercise value for calls.</w:t>
            </w:r>
          </w:p>
        </w:tc>
      </w:tr>
    </w:tbl>
    <w:p>
      <w:pPr>
        <w:spacing w:after="40"/>
      </w:pPr>
    </w:p>
    <w:p>
      <w:pPr>
        <w:pStyle w:val="Heading2"/>
        <w:keepNext/>
      </w:pPr>
      <w:r>
        <w:t>23.2 Build the full Table 3 grid</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maturities = [1.0, 0.8, 0.6, 0.4, 0.2]</w:t>
              <w:br/>
              <w:t>spots = [90.0, 95.0, 100.0, 105.0, 110.0]</w:t>
              <w:br/>
              <w:br/>
              <w:t>rows = []</w:t>
              <w:br/>
              <w:t>for maturity in maturities:</w:t>
              <w:br/>
              <w:t xml:space="preserve">    for spot in spots:</w:t>
              <w:br/>
              <w:t xml:space="preserve">        payload = heston_payload | {"T": maturity, "S0": spot}</w:t>
              <w:br/>
              <w:t xml:space="preserve">        result = api_price(payload)</w:t>
              <w:br/>
              <w:t xml:space="preserve">        rows.append((maturity, spot, result["price"], result["std_error"]))</w:t>
            </w:r>
          </w:p>
        </w:tc>
      </w:tr>
    </w:tbl>
    <w:p>
      <w:pPr>
        <w:spacing w:after="20"/>
      </w:pPr>
    </w:p>
    <w:p>
      <w:pPr>
        <w:pStyle w:val="ListBullet"/>
        <w:spacing w:after="40"/>
      </w:pPr>
      <w:r>
        <w:t>Check that the American value is not materially below the European Heston value for the same case.</w:t>
      </w:r>
    </w:p>
    <w:p>
      <w:pPr>
        <w:pStyle w:val="ListBullet"/>
        <w:spacing w:after="40"/>
      </w:pPr>
      <w:r>
        <w:t>Check that the American value is not below intrinsic value.</w:t>
      </w:r>
    </w:p>
    <w:p>
      <w:pPr>
        <w:pStyle w:val="ListBullet"/>
        <w:spacing w:after="40"/>
      </w:pPr>
      <w:r>
        <w:t>Inspect config_echo.volatility_model and the effective volatility parameter vector.</w:t>
      </w:r>
    </w:p>
    <w:p>
      <w:pPr>
        <w:pStyle w:val="ListBullet"/>
        <w:spacing w:after="40"/>
      </w:pPr>
      <w:r>
        <w:t>Evaluate aggregate bias across the entire table rather than focusing only on one cell.</w:t>
      </w:r>
    </w:p>
    <w:p>
      <w:pPr>
        <w:pStyle w:val="Heading1"/>
        <w:keepNext/>
      </w:pPr>
      <w:r>
        <w:t>24. Joint Heston-CIR American option tutorial</w:t>
      </w:r>
    </w:p>
    <w:p>
      <w:pPr>
        <w:spacing w:after="120"/>
      </w:pPr>
      <w:r>
        <w:t>The Medvedev-Scaillet workflow activates two stochastic model families simultaneously: Heston variance and CIR short rates. Together with the stock factor, this creates a three-factor simulation and therefore requires correlation3.</w:t>
      </w:r>
    </w:p>
    <w:p>
      <w:pPr>
        <w:pStyle w:val="Heading2"/>
        <w:keepNext/>
      </w:pPr>
      <w:r>
        <w:t>24.1 Three-factor American-put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"American",</w:t>
              <w:br/>
              <w:t xml:space="preserve">  "option_type": "Put",</w:t>
              <w:br/>
              <w:t xml:space="preserve">  "underlying": "PathIndependentOption",</w:t>
              <w:br/>
              <w:t xml:space="preserve">  "wrapper_order": "Underlying only",</w:t>
              <w:br/>
              <w:t xml:space="preserve">  "rate_model": "CIR",</w:t>
              <w:br/>
              <w:t xml:space="preserve">  "volatility_model": "Heston",</w:t>
              <w:br/>
              <w:t xml:space="preserve">  "sigma_R": 0.10,</w:t>
              <w:br/>
              <w:t xml:space="preserve">  "rate_a": 0.30,</w:t>
              <w:br/>
              <w:t xml:space="preserve">  "rate_b": 0.04,</w:t>
              <w:br/>
              <w:t xml:space="preserve">  "gamma": 0.15,</w:t>
              <w:br/>
              <w:t xml:space="preserve">  "kappa": 1.50,</w:t>
              <w:br/>
              <w:t xml:space="preserve">  "theta": 0.02,</w:t>
              <w:br/>
              <w:t xml:space="preserve">  "correlation3": [</w:t>
              <w:br/>
              <w:t xml:space="preserve">    [1.0, 0.10, 0.00],</w:t>
              <w:br/>
              <w:t xml:space="preserve">    [0.10, 1.0, 0.00],</w:t>
              <w:br/>
              <w:t xml:space="preserve">    [0.00, 0.00, 1.0]</w:t>
              <w:br/>
              <w:t xml:space="preserve">  ],</w:t>
              <w:br/>
              <w:t xml:space="preserve">  "S0": 100.0,</w:t>
              <w:br/>
              <w:t xml:space="preserve">  "K": 100.0,</w:t>
              <w:br/>
              <w:t xml:space="preserve">  "r": 0.04,</w:t>
              <w:br/>
              <w:t xml:space="preserve">  "sigma": 0.10,</w:t>
              <w:br/>
              <w:t xml:space="preserve">  "y": 0.0,</w:t>
              <w:br/>
              <w:t xml:space="preserve">  "T": 0.25,</w:t>
              <w:br/>
              <w:t xml:space="preserve">  "M": 100,</w:t>
              <w:br/>
              <w:t xml:space="preserve">  "N": 50000,</w:t>
              <w:br/>
              <w:t xml:space="preserve">  "seed": 0,</w:t>
              <w:br/>
              <w:t xml:space="preserve">  "regression_degree": 3,</w:t>
              <w:br/>
              <w:t xml:space="preserve">  "num_exercise_points": 50</w:t>
              <w:br/>
              <w:t>}</w:t>
            </w:r>
          </w:p>
        </w:tc>
      </w:tr>
    </w:tbl>
    <w:p>
      <w:pPr>
        <w:spacing w:after="20"/>
      </w:pP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Correlation ordering: </w:t>
            </w:r>
            <w:r>
              <w:t>The active three-factor ordering is determined by the engine configuration. Always verify active_correlation_dimension and active_correlation_matrix in config_echo after the first request.</w:t>
            </w:r>
          </w:p>
        </w:tc>
      </w:tr>
    </w:tbl>
    <w:p>
      <w:pPr>
        <w:spacing w:after="20"/>
      </w:pPr>
    </w:p>
    <w:p>
      <w:pPr>
        <w:pStyle w:val="Heading2"/>
        <w:keepNext/>
      </w:pPr>
      <w:r>
        <w:t>24.2 Panel construction</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cantSplit/>
        </w:trPr>
        <w:tc>
          <w:tcPr>
            <w:tcW w:type="dxa" w:w="2033"/>
            <w:shd w:fill="1F4E78"/>
            <w:vAlign w:val="center"/>
            <w:tcMar>
              <w:top w:w="80" w:type="dxa"/>
              <w:start w:w="100" w:type="dxa"/>
              <w:bottom w:w="80" w:type="dxa"/>
              <w:end w:w="100" w:type="dxa"/>
            </w:tcMar>
          </w:tcPr>
          <w:p>
            <w:r>
              <w:rPr>
                <w:b/>
                <w:color w:val="FFFFFF"/>
                <w:sz w:val="16"/>
              </w:rPr>
              <w:t>Panel</w:t>
            </w:r>
          </w:p>
        </w:tc>
        <w:tc>
          <w:tcPr>
            <w:tcW w:type="dxa" w:w="2033"/>
            <w:shd w:fill="1F4E78"/>
            <w:vAlign w:val="center"/>
            <w:tcMar>
              <w:top w:w="80" w:type="dxa"/>
              <w:start w:w="100" w:type="dxa"/>
              <w:bottom w:w="80" w:type="dxa"/>
              <w:end w:w="100" w:type="dxa"/>
            </w:tcMar>
          </w:tcPr>
          <w:p>
            <w:r>
              <w:rPr>
                <w:b/>
                <w:color w:val="FFFFFF"/>
                <w:sz w:val="16"/>
              </w:rPr>
              <w:t>v0</w:t>
            </w:r>
          </w:p>
        </w:tc>
        <w:tc>
          <w:tcPr>
            <w:tcW w:type="dxa" w:w="2033"/>
            <w:shd w:fill="1F4E78"/>
            <w:vAlign w:val="center"/>
            <w:tcMar>
              <w:top w:w="80" w:type="dxa"/>
              <w:start w:w="100" w:type="dxa"/>
              <w:bottom w:w="80" w:type="dxa"/>
              <w:end w:w="100" w:type="dxa"/>
            </w:tcMar>
          </w:tcPr>
          <w:p>
            <w:r>
              <w:rPr>
                <w:b/>
                <w:color w:val="FFFFFF"/>
                <w:sz w:val="16"/>
              </w:rPr>
              <w:t>kappa_v</w:t>
            </w:r>
          </w:p>
        </w:tc>
        <w:tc>
          <w:tcPr>
            <w:tcW w:type="dxa" w:w="2033"/>
            <w:shd w:fill="1F4E78"/>
            <w:vAlign w:val="center"/>
            <w:tcMar>
              <w:top w:w="80" w:type="dxa"/>
              <w:start w:w="100" w:type="dxa"/>
              <w:bottom w:w="80" w:type="dxa"/>
              <w:end w:w="100" w:type="dxa"/>
            </w:tcMar>
          </w:tcPr>
          <w:p>
            <w:r>
              <w:rPr>
                <w:b/>
                <w:color w:val="FFFFFF"/>
                <w:sz w:val="16"/>
              </w:rPr>
              <w:t>sigma_v</w:t>
            </w:r>
          </w:p>
        </w:tc>
        <w:tc>
          <w:tcPr>
            <w:tcW w:type="dxa" w:w="2033"/>
            <w:shd w:fill="1F4E78"/>
            <w:vAlign w:val="center"/>
            <w:tcMar>
              <w:top w:w="80" w:type="dxa"/>
              <w:start w:w="100" w:type="dxa"/>
              <w:bottom w:w="80" w:type="dxa"/>
              <w:end w:w="100" w:type="dxa"/>
            </w:tcMar>
          </w:tcPr>
          <w:p>
            <w:r>
              <w:rPr>
                <w:b/>
                <w:color w:val="FFFFFF"/>
                <w:sz w:val="16"/>
              </w:rPr>
              <w:t>stock/variance correlation</w:t>
            </w:r>
          </w:p>
        </w:tc>
      </w:tr>
      <w:tr>
        <w:trPr>
          <w:cantSplit/>
        </w:trPr>
        <w:tc>
          <w:tcPr>
            <w:tcW w:type="dxa" w:w="2033"/>
            <w:tcMar>
              <w:top w:w="80" w:type="dxa"/>
              <w:start w:w="100" w:type="dxa"/>
              <w:bottom w:w="80" w:type="dxa"/>
              <w:end w:w="100" w:type="dxa"/>
            </w:tcMar>
            <w:vAlign w:val="top"/>
          </w:tcPr>
          <w:p>
            <w:r>
              <w:rPr>
                <w:sz w:val="16"/>
              </w:rPr>
              <w:t>0</w:t>
            </w:r>
          </w:p>
        </w:tc>
        <w:tc>
          <w:tcPr>
            <w:tcW w:type="dxa" w:w="2033"/>
            <w:tcMar>
              <w:top w:w="80" w:type="dxa"/>
              <w:start w:w="100" w:type="dxa"/>
              <w:bottom w:w="80" w:type="dxa"/>
              <w:end w:w="100" w:type="dxa"/>
            </w:tcMar>
            <w:vAlign w:val="top"/>
          </w:tcPr>
          <w:p>
            <w:r>
              <w:rPr>
                <w:sz w:val="16"/>
              </w:rPr>
              <w:t>0.01</w:t>
            </w:r>
          </w:p>
        </w:tc>
        <w:tc>
          <w:tcPr>
            <w:tcW w:type="dxa" w:w="2033"/>
            <w:tcMar>
              <w:top w:w="80" w:type="dxa"/>
              <w:start w:w="100" w:type="dxa"/>
              <w:bottom w:w="80" w:type="dxa"/>
              <w:end w:w="100" w:type="dxa"/>
            </w:tcMar>
            <w:vAlign w:val="top"/>
          </w:tcPr>
          <w:p>
            <w:r>
              <w:rPr>
                <w:sz w:val="16"/>
              </w:rPr>
              <w:t>1.50</w:t>
            </w:r>
          </w:p>
        </w:tc>
        <w:tc>
          <w:tcPr>
            <w:tcW w:type="dxa" w:w="2033"/>
            <w:tcMar>
              <w:top w:w="80" w:type="dxa"/>
              <w:start w:w="100" w:type="dxa"/>
              <w:bottom w:w="80" w:type="dxa"/>
              <w:end w:w="100" w:type="dxa"/>
            </w:tcMar>
            <w:vAlign w:val="top"/>
          </w:tcPr>
          <w:p>
            <w:r>
              <w:rPr>
                <w:sz w:val="16"/>
              </w:rPr>
              <w:t>0.15</w:t>
            </w:r>
          </w:p>
        </w:tc>
        <w:tc>
          <w:tcPr>
            <w:tcW w:type="dxa" w:w="2033"/>
            <w:tcMar>
              <w:top w:w="80" w:type="dxa"/>
              <w:start w:w="100" w:type="dxa"/>
              <w:bottom w:w="80" w:type="dxa"/>
              <w:end w:w="100" w:type="dxa"/>
            </w:tcMar>
            <w:vAlign w:val="top"/>
          </w:tcPr>
          <w:p>
            <w:r>
              <w:rPr>
                <w:sz w:val="16"/>
              </w:rPr>
              <w:t>0.10</w:t>
            </w:r>
          </w:p>
        </w:tc>
      </w:tr>
      <w:tr>
        <w:trPr>
          <w:cantSplit/>
        </w:trPr>
        <w:tc>
          <w:tcPr>
            <w:tcW w:type="dxa" w:w="2033"/>
            <w:tcMar>
              <w:top w:w="80" w:type="dxa"/>
              <w:start w:w="100" w:type="dxa"/>
              <w:bottom w:w="80" w:type="dxa"/>
              <w:end w:w="100" w:type="dxa"/>
            </w:tcMar>
            <w:vAlign w:val="top"/>
          </w:tcPr>
          <w:p>
            <w:r>
              <w:rPr>
                <w:sz w:val="16"/>
              </w:rPr>
              <w:t>1</w:t>
            </w:r>
          </w:p>
        </w:tc>
        <w:tc>
          <w:tcPr>
            <w:tcW w:type="dxa" w:w="2033"/>
            <w:tcMar>
              <w:top w:w="80" w:type="dxa"/>
              <w:start w:w="100" w:type="dxa"/>
              <w:bottom w:w="80" w:type="dxa"/>
              <w:end w:w="100" w:type="dxa"/>
            </w:tcMar>
            <w:vAlign w:val="top"/>
          </w:tcPr>
          <w:p>
            <w:r>
              <w:rPr>
                <w:sz w:val="16"/>
              </w:rPr>
              <w:t>0.04</w:t>
            </w:r>
          </w:p>
        </w:tc>
        <w:tc>
          <w:tcPr>
            <w:tcW w:type="dxa" w:w="2033"/>
            <w:tcMar>
              <w:top w:w="80" w:type="dxa"/>
              <w:start w:w="100" w:type="dxa"/>
              <w:bottom w:w="80" w:type="dxa"/>
              <w:end w:w="100" w:type="dxa"/>
            </w:tcMar>
            <w:vAlign w:val="top"/>
          </w:tcPr>
          <w:p>
            <w:r>
              <w:rPr>
                <w:sz w:val="16"/>
              </w:rPr>
              <w:t>0.75</w:t>
            </w:r>
          </w:p>
        </w:tc>
        <w:tc>
          <w:tcPr>
            <w:tcW w:type="dxa" w:w="2033"/>
            <w:tcMar>
              <w:top w:w="80" w:type="dxa"/>
              <w:start w:w="100" w:type="dxa"/>
              <w:bottom w:w="80" w:type="dxa"/>
              <w:end w:w="100" w:type="dxa"/>
            </w:tcMar>
            <w:vAlign w:val="top"/>
          </w:tcPr>
          <w:p>
            <w:r>
              <w:rPr>
                <w:sz w:val="16"/>
              </w:rPr>
              <w:t>0.30</w:t>
            </w:r>
          </w:p>
        </w:tc>
        <w:tc>
          <w:tcPr>
            <w:tcW w:type="dxa" w:w="2033"/>
            <w:tcMar>
              <w:top w:w="80" w:type="dxa"/>
              <w:start w:w="100" w:type="dxa"/>
              <w:bottom w:w="80" w:type="dxa"/>
              <w:end w:w="100" w:type="dxa"/>
            </w:tcMar>
            <w:vAlign w:val="top"/>
          </w:tcPr>
          <w:p>
            <w:r>
              <w:rPr>
                <w:sz w:val="16"/>
              </w:rPr>
              <w:t>0.10</w:t>
            </w:r>
          </w:p>
        </w:tc>
      </w:tr>
      <w:tr>
        <w:trPr>
          <w:cantSplit/>
        </w:trPr>
        <w:tc>
          <w:tcPr>
            <w:tcW w:type="dxa" w:w="2033"/>
            <w:tcMar>
              <w:top w:w="80" w:type="dxa"/>
              <w:start w:w="100" w:type="dxa"/>
              <w:bottom w:w="80" w:type="dxa"/>
              <w:end w:w="100" w:type="dxa"/>
            </w:tcMar>
            <w:vAlign w:val="top"/>
          </w:tcPr>
          <w:p>
            <w:r>
              <w:rPr>
                <w:sz w:val="16"/>
              </w:rPr>
              <w:t>2</w:t>
            </w:r>
          </w:p>
        </w:tc>
        <w:tc>
          <w:tcPr>
            <w:tcW w:type="dxa" w:w="2033"/>
            <w:tcMar>
              <w:top w:w="80" w:type="dxa"/>
              <w:start w:w="100" w:type="dxa"/>
              <w:bottom w:w="80" w:type="dxa"/>
              <w:end w:w="100" w:type="dxa"/>
            </w:tcMar>
            <w:vAlign w:val="top"/>
          </w:tcPr>
          <w:p>
            <w:r>
              <w:rPr>
                <w:sz w:val="16"/>
              </w:rPr>
              <w:t>0.04</w:t>
            </w:r>
          </w:p>
        </w:tc>
        <w:tc>
          <w:tcPr>
            <w:tcW w:type="dxa" w:w="2033"/>
            <w:tcMar>
              <w:top w:w="80" w:type="dxa"/>
              <w:start w:w="100" w:type="dxa"/>
              <w:bottom w:w="80" w:type="dxa"/>
              <w:end w:w="100" w:type="dxa"/>
            </w:tcMar>
            <w:vAlign w:val="top"/>
          </w:tcPr>
          <w:p>
            <w:r>
              <w:rPr>
                <w:sz w:val="16"/>
              </w:rPr>
              <w:t>1.50</w:t>
            </w:r>
          </w:p>
        </w:tc>
        <w:tc>
          <w:tcPr>
            <w:tcW w:type="dxa" w:w="2033"/>
            <w:tcMar>
              <w:top w:w="80" w:type="dxa"/>
              <w:start w:w="100" w:type="dxa"/>
              <w:bottom w:w="80" w:type="dxa"/>
              <w:end w:w="100" w:type="dxa"/>
            </w:tcMar>
            <w:vAlign w:val="top"/>
          </w:tcPr>
          <w:p>
            <w:r>
              <w:rPr>
                <w:sz w:val="16"/>
              </w:rPr>
              <w:t>0.30</w:t>
            </w:r>
          </w:p>
        </w:tc>
        <w:tc>
          <w:tcPr>
            <w:tcW w:type="dxa" w:w="2033"/>
            <w:tcMar>
              <w:top w:w="80" w:type="dxa"/>
              <w:start w:w="100" w:type="dxa"/>
              <w:bottom w:w="80" w:type="dxa"/>
              <w:end w:w="100" w:type="dxa"/>
            </w:tcMar>
            <w:vAlign w:val="top"/>
          </w:tcPr>
          <w:p>
            <w:r>
              <w:rPr>
                <w:sz w:val="16"/>
              </w:rPr>
              <w:t>0.10</w:t>
            </w:r>
          </w:p>
        </w:tc>
      </w:tr>
      <w:tr>
        <w:trPr>
          <w:cantSplit/>
        </w:trPr>
        <w:tc>
          <w:tcPr>
            <w:tcW w:type="dxa" w:w="2033"/>
            <w:tcMar>
              <w:top w:w="80" w:type="dxa"/>
              <w:start w:w="100" w:type="dxa"/>
              <w:bottom w:w="80" w:type="dxa"/>
              <w:end w:w="100" w:type="dxa"/>
            </w:tcMar>
            <w:vAlign w:val="top"/>
          </w:tcPr>
          <w:p>
            <w:r>
              <w:rPr>
                <w:sz w:val="16"/>
              </w:rPr>
              <w:t>3</w:t>
            </w:r>
          </w:p>
        </w:tc>
        <w:tc>
          <w:tcPr>
            <w:tcW w:type="dxa" w:w="2033"/>
            <w:tcMar>
              <w:top w:w="80" w:type="dxa"/>
              <w:start w:w="100" w:type="dxa"/>
              <w:bottom w:w="80" w:type="dxa"/>
              <w:end w:w="100" w:type="dxa"/>
            </w:tcMar>
            <w:vAlign w:val="top"/>
          </w:tcPr>
          <w:p>
            <w:r>
              <w:rPr>
                <w:sz w:val="16"/>
              </w:rPr>
              <w:t>0.04</w:t>
            </w:r>
          </w:p>
        </w:tc>
        <w:tc>
          <w:tcPr>
            <w:tcW w:type="dxa" w:w="2033"/>
            <w:tcMar>
              <w:top w:w="80" w:type="dxa"/>
              <w:start w:w="100" w:type="dxa"/>
              <w:bottom w:w="80" w:type="dxa"/>
              <w:end w:w="100" w:type="dxa"/>
            </w:tcMar>
            <w:vAlign w:val="top"/>
          </w:tcPr>
          <w:p>
            <w:r>
              <w:rPr>
                <w:sz w:val="16"/>
              </w:rPr>
              <w:t>1.50</w:t>
            </w:r>
          </w:p>
        </w:tc>
        <w:tc>
          <w:tcPr>
            <w:tcW w:type="dxa" w:w="2033"/>
            <w:tcMar>
              <w:top w:w="80" w:type="dxa"/>
              <w:start w:w="100" w:type="dxa"/>
              <w:bottom w:w="80" w:type="dxa"/>
              <w:end w:w="100" w:type="dxa"/>
            </w:tcMar>
            <w:vAlign w:val="top"/>
          </w:tcPr>
          <w:p>
            <w:r>
              <w:rPr>
                <w:sz w:val="16"/>
              </w:rPr>
              <w:t>0.15</w:t>
            </w:r>
          </w:p>
        </w:tc>
        <w:tc>
          <w:tcPr>
            <w:tcW w:type="dxa" w:w="2033"/>
            <w:tcMar>
              <w:top w:w="80" w:type="dxa"/>
              <w:start w:w="100" w:type="dxa"/>
              <w:bottom w:w="80" w:type="dxa"/>
              <w:end w:w="100" w:type="dxa"/>
            </w:tcMar>
            <w:vAlign w:val="top"/>
          </w:tcPr>
          <w:p>
            <w:r>
              <w:rPr>
                <w:sz w:val="16"/>
              </w:rPr>
              <w:t>-0.50</w:t>
            </w:r>
          </w:p>
        </w:tc>
      </w:tr>
    </w:tbl>
    <w:p>
      <w:pPr>
        <w:spacing w:after="40"/>
      </w:pPr>
    </w:p>
    <w:p>
      <w:pPr>
        <w:spacing w:after="120"/>
      </w:pPr>
      <w:r>
        <w:t>For each panel, the benchmark evaluates strikes 90, 100 and 110 at maturities 1/12, 1/4 and 1/2 years. The initial volatility field must be sqrt(v0), not v0 itself.</w:t>
      </w:r>
    </w:p>
    <w:p>
      <w:pPr>
        <w:pStyle w:val="ListBullet"/>
        <w:spacing w:after="40"/>
      </w:pPr>
      <w:r>
        <w:t>Use rate_model="CIR" and volatility_model="Heston" in the same request.</w:t>
      </w:r>
    </w:p>
    <w:p>
      <w:pPr>
        <w:pStyle w:val="ListBullet"/>
        <w:spacing w:after="40"/>
      </w:pPr>
      <w:r>
        <w:t>Use correlation3, because stock, variance and rate factors are active.</w:t>
      </w:r>
    </w:p>
    <w:p>
      <w:pPr>
        <w:pStyle w:val="ListBullet"/>
        <w:spacing w:after="40"/>
      </w:pPr>
      <w:r>
        <w:t>Compare American and European values under identical stochastic-factor settings.</w:t>
      </w:r>
    </w:p>
    <w:p>
      <w:pPr>
        <w:pStyle w:val="ListBullet"/>
        <w:spacing w:after="40"/>
      </w:pPr>
      <w:r>
        <w:t>Monitor aggregate model bias over all cells and deterministic same-seed behaviour.</w:t>
      </w:r>
    </w:p>
    <w:p>
      <w:pPr>
        <w:pStyle w:val="Heading1"/>
        <w:keepNext/>
      </w:pPr>
      <w:r>
        <w:t>25. CIR interest-rate diagnostics</w:t>
      </w:r>
    </w:p>
    <w:p>
      <w:pPr>
        <w:spacing w:after="120"/>
      </w:pPr>
      <w:r>
        <w:t>The CIR diagnostic workflow is not merely a benchmark. It teaches how to activate a stochastic rate model, supply its time vectors, verify the Feller condition, inspect retained paths, compare the degenerate limit with constant rates, and study Monte Carlo convergence.</w:t>
      </w:r>
    </w:p>
    <w:p>
      <w:pPr>
        <w:pStyle w:val="Heading2"/>
        <w:keepNext/>
      </w:pPr>
      <w:r>
        <w:t>25.1 Activate CIR rates</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r/>
            <w:r>
              <w:rPr>
                <w:rFonts w:ascii="Consolas" w:hAnsi="Consolas" w:eastAsia="Consolas"/>
                <w:sz w:val="16"/>
              </w:rPr>
              <w:t>M = 100</w:t>
              <w:br/>
              <w:t>cir_payload = {</w:t>
              <w:br/>
              <w:t xml:space="preserve">    "exercise": "European",</w:t>
              <w:br/>
              <w:t xml:space="preserve">    "option_type": "Call",</w:t>
              <w:br/>
              <w:t xml:space="preserve">    "rate_model": "CIR",</w:t>
              <w:br/>
              <w:t xml:space="preserve">    "volatility_model": "Constant",</w:t>
              <w:br/>
              <w:t xml:space="preserve">    "dividend_model": "Constant",</w:t>
              <w:br/>
              <w:t xml:space="preserve">    "sigma_R": 0.13,</w:t>
              <w:br/>
              <w:t xml:space="preserve">    "rate_a": 0.30,</w:t>
              <w:br/>
              <w:t xml:space="preserve">    "rate_b": 0.04,</w:t>
              <w:br/>
              <w:t xml:space="preserve">    "theta_t": [0.0] * (M + 1),</w:t>
              <w:br/>
              <w:t xml:space="preserve">    "b_t": [0.04] * (M + 1),</w:t>
              <w:br/>
              <w:t xml:space="preserve">    "sigma_t": [0.13] * (M + 1),</w:t>
              <w:br/>
              <w:t xml:space="preserve">    "correlation2": [[1.0, 0.0], [0.0, 1.0]],</w:t>
              <w:br/>
              <w:t xml:space="preserve">    "S0": 100.0, "K": 100.0, "r": 0.04,</w:t>
              <w:br/>
              <w:t xml:space="preserve">    "sigma": 0.20, "y": 0.0, "T": 0.5,</w:t>
              <w:br/>
              <w:t xml:space="preserve">    "M": M, "N": 50000, "seed": 0,</w:t>
              <w:br/>
              <w:t xml:space="preserve">    "greeks": True,</w:t>
              <w:br/>
              <w:t xml:space="preserve">    "retained_variables": True,</w:t>
              <w:br/>
              <w:t xml:space="preserve">    "sensitivity_parameters": ["S0", "sigma", "r", "T"],</w:t>
              <w:br/>
              <w:t>}</w:t>
            </w:r>
          </w:p>
        </w:tc>
      </w:tr>
    </w:tbl>
    <w:p>
      <w:pPr>
        <w:spacing w:after="20"/>
      </w:pPr>
    </w:p>
    <w:p>
      <w:pPr>
        <w:pStyle w:val="Heading2"/>
        <w:keepNext/>
      </w:pPr>
      <w:r>
        <w:t>25.2 Check the Feller condition</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feller_lhs = 2.0 * rate_a * rate_b</w:t>
              <w:br/>
              <w:t>feller_rhs = sigma_R ** 2</w:t>
              <w:br/>
              <w:t>feller_satisfied = feller_lhs &gt;= feller_rhs</w:t>
            </w:r>
          </w:p>
        </w:tc>
      </w:tr>
    </w:tbl>
    <w:p>
      <w:pPr>
        <w:spacing w:after="20"/>
      </w:pPr>
    </w:p>
    <w:p>
      <w:pPr>
        <w:spacing w:after="120"/>
      </w:pPr>
      <w:r>
        <w:t>The Feller condition is a model diagnostic, not an API input. Record it alongside the calibration because it indicates whether the continuous CIR process theoretically stays strictly positive.</w:t>
      </w:r>
    </w:p>
    <w:p>
      <w:pPr>
        <w:pStyle w:val="Heading2"/>
        <w:keepNext/>
      </w:pPr>
      <w:r>
        <w:t>25.3 Test the constant-rate limit</w:t>
      </w:r>
    </w:p>
    <w:p>
      <w:pPr>
        <w:spacing w:after="120"/>
      </w:pPr>
      <w:r>
        <w:t>Set sigma_R=0 and use zero sigma_t. Compare the CIR request with an otherwise identical request using rate_model="Constant". The two prices should agree within combined Monte Carlo uncertainty. This is a powerful implementation sanity check.</w:t>
      </w:r>
    </w:p>
    <w:p>
      <w:pPr>
        <w:pStyle w:val="Heading2"/>
        <w:keepNext/>
      </w:pPr>
      <w:r>
        <w:t>25.4 Convergence and retained output</w:t>
      </w:r>
    </w:p>
    <w:p>
      <w:pPr>
        <w:pStyle w:val="ListBullet"/>
        <w:spacing w:after="40"/>
      </w:pPr>
      <w:r>
        <w:t>Run the same contract at increasing N, for example 5,000, 20,000 and 50,000 paths.</w:t>
      </w:r>
    </w:p>
    <w:p>
      <w:pPr>
        <w:pStyle w:val="ListBullet"/>
        <w:spacing w:after="40"/>
      </w:pPr>
      <w:r>
        <w:t>Confirm that standard errors generally contract as N increases.</w:t>
      </w:r>
    </w:p>
    <w:p>
      <w:pPr>
        <w:pStyle w:val="ListBullet"/>
        <w:spacing w:after="40"/>
      </w:pPr>
      <w:r>
        <w:t>With retained_variables=true, inspect any rate-path or factor diagnostics returned by the engine.</w:t>
      </w:r>
    </w:p>
    <w:p>
      <w:pPr>
        <w:pStyle w:val="ListBullet"/>
        <w:spacing w:after="40"/>
      </w:pPr>
      <w:r>
        <w:t>Use /mc/sensitivities or greeks=true to confirm that CIR configuration also works under finite-difference repricing.</w:t>
      </w:r>
    </w:p>
    <w:p>
      <w:pPr>
        <w:pStyle w:val="ListBullet"/>
        <w:spacing w:after="40"/>
      </w:pPr>
      <w:r>
        <w:t>Enable Hessian only after a smaller sensitivity subset has been validated, because second-order repricing is expensive.</w:t>
      </w:r>
    </w:p>
    <w:p>
      <w:pPr>
        <w:pStyle w:val="Heading1"/>
        <w:keepNext/>
      </w:pPr>
      <w:r>
        <w:t>26. Stochastic-dividend diagnostics</w:t>
      </w:r>
    </w:p>
    <w:p>
      <w:pPr>
        <w:spacing w:after="120"/>
      </w:pPr>
      <w:r>
        <w:t>The stochastic-dividend workflow compares constant and stochastic dividend models, checks call-put behaviour, examines degenerate limits, verifies correlation activation, and optionally requests retained variables, Greeks and Hessians.</w:t>
      </w:r>
    </w:p>
    <w:p>
      <w:pPr>
        <w:pStyle w:val="Heading2"/>
        <w:keepNext/>
      </w:pPr>
      <w:r>
        <w:t>26.1 Stochastic-dividend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"European",</w:t>
              <w:br/>
              <w:t xml:space="preserve">  "option_type": "Call",</w:t>
              <w:br/>
              <w:t xml:space="preserve">  "underlying": "PathIndependentOption",</w:t>
              <w:br/>
              <w:t xml:space="preserve">  "wrapper_order": "Underlying only",</w:t>
              <w:br/>
              <w:t xml:space="preserve">  "rate_model": "Constant",</w:t>
              <w:br/>
              <w:t xml:space="preserve">  "volatility_model": "Constant",</w:t>
              <w:br/>
              <w:t xml:space="preserve">  "dividend_model": "Stochastic",</w:t>
              <w:br/>
              <w:t xml:space="preserve">  "sentiment_model": "Constant",</w:t>
              <w:br/>
              <w:t xml:space="preserve">  "sentiment_vol_model": "Constant",</w:t>
              <w:br/>
              <w:t xml:space="preserve">  "alphadiv": 10.0,</w:t>
              <w:br/>
              <w:t xml:space="preserve">  "betadiv": 0.10,</w:t>
              <w:br/>
              <w:t xml:space="preserve">  "divVol": 0.05,</w:t>
              <w:br/>
              <w:t xml:space="preserve">  "bdiv": 0.01,</w:t>
              <w:br/>
              <w:t xml:space="preserve">  "correlation2": [[1.0, 0.0], [0.0, 1.0]],</w:t>
              <w:br/>
              <w:t xml:space="preserve">  "S0": 100.0,</w:t>
              <w:br/>
              <w:t xml:space="preserve">  "K": 100.0,</w:t>
              <w:br/>
              <w:t xml:space="preserve">  "r": 0.05,</w:t>
              <w:br/>
              <w:t xml:space="preserve">  "sigma": 0.20,</w:t>
              <w:br/>
              <w:t xml:space="preserve">  "y": 0.03,</w:t>
              <w:br/>
              <w:t xml:space="preserve">  "T": 1.0,</w:t>
              <w:br/>
              <w:t xml:space="preserve">  "M": 50,</w:t>
              <w:br/>
              <w:t xml:space="preserve">  "N": 100000,</w:t>
              <w:br/>
              <w:t xml:space="preserve">  "seed": 0</w:t>
              <w:br/>
              <w:t>}</w:t>
            </w:r>
          </w:p>
        </w:tc>
      </w:tr>
    </w:tbl>
    <w:p>
      <w:pPr>
        <w:spacing w:after="20"/>
      </w:pPr>
    </w:p>
    <w:tbl>
      <w:tblPr>
        <w:tblStyle w:val="TableGrid"/>
        <w:tblW w:type="auto" w:w="0"/>
        <w:jc w:val="center"/>
        <w:tblLook w:firstColumn="1" w:firstRow="1" w:lastColumn="0" w:lastRow="0" w:noHBand="0" w:noVBand="1" w:val="04A0"/>
      </w:tblPr>
      <w:tblGrid>
        <w:gridCol w:w="5083"/>
        <w:gridCol w:w="5083"/>
      </w:tblGrid>
      <w:tr>
        <w:trPr>
          <w:cantSplit/>
        </w:trPr>
        <w:tc>
          <w:tcPr>
            <w:tcW w:type="dxa" w:w="5083"/>
            <w:shd w:fill="1F4E78"/>
            <w:vAlign w:val="center"/>
            <w:tcMar>
              <w:top w:w="80" w:type="dxa"/>
              <w:start w:w="100" w:type="dxa"/>
              <w:bottom w:w="80" w:type="dxa"/>
              <w:end w:w="100" w:type="dxa"/>
            </w:tcMar>
          </w:tcPr>
          <w:p>
            <w:r>
              <w:rPr>
                <w:b/>
                <w:color w:val="FFFFFF"/>
                <w:sz w:val="16"/>
              </w:rPr>
              <w:t>Field</w:t>
            </w:r>
          </w:p>
        </w:tc>
        <w:tc>
          <w:tcPr>
            <w:tcW w:type="dxa" w:w="5083"/>
            <w:shd w:fill="1F4E78"/>
            <w:vAlign w:val="center"/>
            <w:tcMar>
              <w:top w:w="80" w:type="dxa"/>
              <w:start w:w="100" w:type="dxa"/>
              <w:bottom w:w="80" w:type="dxa"/>
              <w:end w:w="100" w:type="dxa"/>
            </w:tcMar>
          </w:tcPr>
          <w:p>
            <w:r>
              <w:rPr>
                <w:b/>
                <w:color w:val="FFFFFF"/>
                <w:sz w:val="16"/>
              </w:rPr>
              <w:t>Role</w:t>
            </w:r>
          </w:p>
        </w:tc>
      </w:tr>
      <w:tr>
        <w:trPr>
          <w:cantSplit/>
        </w:trPr>
        <w:tc>
          <w:tcPr>
            <w:tcW w:type="dxa" w:w="5083"/>
            <w:tcMar>
              <w:top w:w="80" w:type="dxa"/>
              <w:start w:w="100" w:type="dxa"/>
              <w:bottom w:w="80" w:type="dxa"/>
              <w:end w:w="100" w:type="dxa"/>
            </w:tcMar>
            <w:vAlign w:val="top"/>
          </w:tcPr>
          <w:p>
            <w:r>
              <w:rPr>
                <w:sz w:val="16"/>
              </w:rPr>
              <w:t>alphadiv</w:t>
            </w:r>
          </w:p>
        </w:tc>
        <w:tc>
          <w:tcPr>
            <w:tcW w:type="dxa" w:w="5083"/>
            <w:tcMar>
              <w:top w:w="80" w:type="dxa"/>
              <w:start w:w="100" w:type="dxa"/>
              <w:bottom w:w="80" w:type="dxa"/>
              <w:end w:w="100" w:type="dxa"/>
            </w:tcMar>
            <w:vAlign w:val="top"/>
          </w:tcPr>
          <w:p>
            <w:r>
              <w:rPr>
                <w:sz w:val="16"/>
              </w:rPr>
              <w:t>Dividend-process mean-reversion parameter.</w:t>
            </w:r>
          </w:p>
        </w:tc>
      </w:tr>
      <w:tr>
        <w:trPr>
          <w:cantSplit/>
        </w:trPr>
        <w:tc>
          <w:tcPr>
            <w:tcW w:type="dxa" w:w="5083"/>
            <w:tcMar>
              <w:top w:w="80" w:type="dxa"/>
              <w:start w:w="100" w:type="dxa"/>
              <w:bottom w:w="80" w:type="dxa"/>
              <w:end w:w="100" w:type="dxa"/>
            </w:tcMar>
            <w:vAlign w:val="top"/>
          </w:tcPr>
          <w:p>
            <w:r>
              <w:rPr>
                <w:sz w:val="16"/>
              </w:rPr>
              <w:t>betadiv</w:t>
            </w:r>
          </w:p>
        </w:tc>
        <w:tc>
          <w:tcPr>
            <w:tcW w:type="dxa" w:w="5083"/>
            <w:tcMar>
              <w:top w:w="80" w:type="dxa"/>
              <w:start w:w="100" w:type="dxa"/>
              <w:bottom w:w="80" w:type="dxa"/>
              <w:end w:w="100" w:type="dxa"/>
            </w:tcMar>
            <w:vAlign w:val="top"/>
          </w:tcPr>
          <w:p>
            <w:r>
              <w:rPr>
                <w:sz w:val="16"/>
              </w:rPr>
              <w:t>Dividend-process long-run or drift parameter used by the engine.</w:t>
            </w:r>
          </w:p>
        </w:tc>
      </w:tr>
      <w:tr>
        <w:trPr>
          <w:cantSplit/>
        </w:trPr>
        <w:tc>
          <w:tcPr>
            <w:tcW w:type="dxa" w:w="5083"/>
            <w:tcMar>
              <w:top w:w="80" w:type="dxa"/>
              <w:start w:w="100" w:type="dxa"/>
              <w:bottom w:w="80" w:type="dxa"/>
              <w:end w:w="100" w:type="dxa"/>
            </w:tcMar>
            <w:vAlign w:val="top"/>
          </w:tcPr>
          <w:p>
            <w:r>
              <w:rPr>
                <w:sz w:val="16"/>
              </w:rPr>
              <w:t>divVol</w:t>
            </w:r>
          </w:p>
        </w:tc>
        <w:tc>
          <w:tcPr>
            <w:tcW w:type="dxa" w:w="5083"/>
            <w:tcMar>
              <w:top w:w="80" w:type="dxa"/>
              <w:start w:w="100" w:type="dxa"/>
              <w:bottom w:w="80" w:type="dxa"/>
              <w:end w:w="100" w:type="dxa"/>
            </w:tcMar>
            <w:vAlign w:val="top"/>
          </w:tcPr>
          <w:p>
            <w:r>
              <w:rPr>
                <w:sz w:val="16"/>
              </w:rPr>
              <w:t>Dividend-process volatility.</w:t>
            </w:r>
          </w:p>
        </w:tc>
      </w:tr>
      <w:tr>
        <w:trPr>
          <w:cantSplit/>
        </w:trPr>
        <w:tc>
          <w:tcPr>
            <w:tcW w:type="dxa" w:w="5083"/>
            <w:tcMar>
              <w:top w:w="80" w:type="dxa"/>
              <w:start w:w="100" w:type="dxa"/>
              <w:bottom w:w="80" w:type="dxa"/>
              <w:end w:w="100" w:type="dxa"/>
            </w:tcMar>
            <w:vAlign w:val="top"/>
          </w:tcPr>
          <w:p>
            <w:r>
              <w:rPr>
                <w:sz w:val="16"/>
              </w:rPr>
              <w:t>bdiv</w:t>
            </w:r>
          </w:p>
        </w:tc>
        <w:tc>
          <w:tcPr>
            <w:tcW w:type="dxa" w:w="5083"/>
            <w:tcMar>
              <w:top w:w="80" w:type="dxa"/>
              <w:start w:w="100" w:type="dxa"/>
              <w:bottom w:w="80" w:type="dxa"/>
              <w:end w:w="100" w:type="dxa"/>
            </w:tcMar>
            <w:vAlign w:val="top"/>
          </w:tcPr>
          <w:p>
            <w:r>
              <w:rPr>
                <w:sz w:val="16"/>
              </w:rPr>
              <w:t>Additional dividend-process coefficient.</w:t>
            </w:r>
          </w:p>
        </w:tc>
      </w:tr>
      <w:tr>
        <w:trPr>
          <w:cantSplit/>
        </w:trPr>
        <w:tc>
          <w:tcPr>
            <w:tcW w:type="dxa" w:w="5083"/>
            <w:tcMar>
              <w:top w:w="80" w:type="dxa"/>
              <w:start w:w="100" w:type="dxa"/>
              <w:bottom w:w="80" w:type="dxa"/>
              <w:end w:w="100" w:type="dxa"/>
            </w:tcMar>
            <w:vAlign w:val="top"/>
          </w:tcPr>
          <w:p>
            <w:r>
              <w:rPr>
                <w:sz w:val="16"/>
              </w:rPr>
              <w:t>correlation2</w:t>
            </w:r>
          </w:p>
        </w:tc>
        <w:tc>
          <w:tcPr>
            <w:tcW w:type="dxa" w:w="5083"/>
            <w:tcMar>
              <w:top w:w="80" w:type="dxa"/>
              <w:start w:w="100" w:type="dxa"/>
              <w:bottom w:w="80" w:type="dxa"/>
              <w:end w:w="100" w:type="dxa"/>
            </w:tcMar>
            <w:vAlign w:val="top"/>
          </w:tcPr>
          <w:p>
            <w:r>
              <w:rPr>
                <w:sz w:val="16"/>
              </w:rPr>
              <w:t>Stock/dividend factor correlation matrix when the stochastic dividend factor is active.</w:t>
            </w:r>
          </w:p>
        </w:tc>
      </w:tr>
    </w:tbl>
    <w:p>
      <w:pPr>
        <w:spacing w:after="40"/>
      </w:pPr>
    </w:p>
    <w:p>
      <w:pPr>
        <w:pStyle w:val="Heading2"/>
        <w:keepNext/>
      </w:pPr>
      <w:r>
        <w:t>26.2 Constant-model parity check</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parity_target = (</w:t>
              <w:br/>
              <w:t xml:space="preserve">    S0 * math.exp(-y * T)</w:t>
              <w:br/>
              <w:t xml:space="preserve">    - K * math.exp(-r * T)</w:t>
              <w:br/>
              <w:t>)</w:t>
              <w:br/>
              <w:t>parity_gap = call["price"] - put["price"] - parity_target</w:t>
            </w:r>
          </w:p>
        </w:tc>
      </w:tr>
    </w:tbl>
    <w:p>
      <w:pPr>
        <w:spacing w:after="20"/>
      </w:pPr>
    </w:p>
    <w:p>
      <w:pPr>
        <w:spacing w:after="120"/>
      </w:pPr>
      <w:r>
        <w:t>Use the standard discounted call-put parity target only for the constant-dividend model. A stochastic-dividend model may require a different theoretical expectation, so its diagnostic should focus on configuration, limiting cases, stability and economically sensible price changes rather than forcing the constant-yield formula.</w:t>
      </w:r>
    </w:p>
    <w:p>
      <w:pPr>
        <w:pStyle w:val="Heading2"/>
        <w:keepNext/>
      </w:pPr>
      <w:r>
        <w:t>26.3 Recommended diagnostics</w:t>
      </w:r>
    </w:p>
    <w:p>
      <w:pPr>
        <w:pStyle w:val="ListBullet"/>
        <w:spacing w:after="40"/>
      </w:pPr>
      <w:r>
        <w:t>Compare constant and stochastic dividend prices at y=0 and at a positive initial yield.</w:t>
      </w:r>
    </w:p>
    <w:p>
      <w:pPr>
        <w:pStyle w:val="ListBullet"/>
        <w:spacing w:after="40"/>
      </w:pPr>
      <w:r>
        <w:t>Set divVol=0 to test whether the stochastic model approaches a deterministic limit.</w:t>
      </w:r>
    </w:p>
    <w:p>
      <w:pPr>
        <w:pStyle w:val="ListBullet"/>
        <w:spacing w:after="40"/>
      </w:pPr>
      <w:r>
        <w:t>Verify that config_echo reports the stochastic dividend model and a two-factor active correlation matrix.</w:t>
      </w:r>
    </w:p>
    <w:p>
      <w:pPr>
        <w:pStyle w:val="ListBullet"/>
        <w:spacing w:after="40"/>
      </w:pPr>
      <w:r>
        <w:t>Check same-seed reproducibility and N-convergence.</w:t>
      </w:r>
    </w:p>
    <w:p>
      <w:pPr>
        <w:pStyle w:val="ListBullet"/>
        <w:spacing w:after="40"/>
      </w:pPr>
      <w:r>
        <w:t>Request retained_variables=true when investigating the simulated dividend state directly.</w:t>
      </w:r>
    </w:p>
    <w:p>
      <w:pPr>
        <w:pStyle w:val="Heading1"/>
        <w:keepNext/>
      </w:pPr>
      <w:r>
        <w:t>27. Regression-degree and seed robustness</w:t>
      </w:r>
    </w:p>
    <w:p>
      <w:pPr>
        <w:spacing w:after="120"/>
      </w:pPr>
      <w:r>
        <w:t>Least-squares Monte Carlo contains two numerical choices that users must test rather than assume: the polynomial regression degree and the random seed. The supplied diagnostics use the same Heston American call while varying one choice at a time.</w:t>
      </w:r>
    </w:p>
    <w:p>
      <w:pPr>
        <w:pStyle w:val="Heading2"/>
        <w:keepNext/>
      </w:pPr>
      <w:r>
        <w:t>27.1 Regression-degree sweep</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degrees = [3, 5, 8]</w:t>
              <w:br/>
              <w:t>results = {}</w:t>
              <w:br/>
              <w:t>for degree in degrees:</w:t>
              <w:br/>
              <w:t xml:space="preserve">    payload = heston_payload | {"regression_degree": degree}</w:t>
              <w:br/>
              <w:t xml:space="preserve">    results[degree] = api_price(payload)</w:t>
              <w:br/>
              <w:br/>
              <w:t>for degree, result in results.items():</w:t>
              <w:br/>
              <w:t xml:space="preserve">    print(degree, result["price"], result["std_error"])</w:t>
            </w:r>
          </w:p>
        </w:tc>
      </w:tr>
    </w:tbl>
    <w:p>
      <w:pPr>
        <w:spacing w:after="20"/>
      </w:pPr>
    </w:p>
    <w:p>
      <w:pPr>
        <w:spacing w:after="120"/>
      </w:pPr>
      <w:r>
        <w:t>Prices need not be identical across degrees. They should, however, remain statistically compatible and economically sensible. A large monotonic drift, unstable sign, or explosive variation suggests an underfit/overfit problem or insufficient paths.</w:t>
      </w:r>
    </w:p>
    <w:p>
      <w:pPr>
        <w:pStyle w:val="Heading2"/>
        <w:keepNext/>
      </w:pPr>
      <w:r>
        <w:t>27.2 Seed sweep</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seeds = [0, 1, 2]</w:t>
              <w:br/>
              <w:t>results = {</w:t>
              <w:br/>
              <w:t xml:space="preserve">    seed: api_price(heston_payload | {"seed": seed})</w:t>
              <w:br/>
              <w:t xml:space="preserve">    for seed in seeds</w:t>
              <w:br/>
              <w:t>}</w:t>
              <w:br/>
              <w:br/>
              <w:t># Compare each estimate with seed 0 using combined standard errors.</w:t>
              <w:br/>
              <w:t>reference = results[0]</w:t>
            </w:r>
          </w:p>
        </w:tc>
      </w:tr>
    </w:tbl>
    <w:p>
      <w:pPr>
        <w:spacing w:after="20"/>
      </w:pPr>
    </w:p>
    <w:p>
      <w:pPr>
        <w:pStyle w:val="ListBullet"/>
        <w:spacing w:after="40"/>
      </w:pPr>
      <w:r>
        <w:t>Same seed plus same request must be exactly reproducible.</w:t>
      </w:r>
    </w:p>
    <w:p>
      <w:pPr>
        <w:pStyle w:val="ListBullet"/>
        <w:spacing w:after="40"/>
      </w:pPr>
      <w:r>
        <w:t>Different seeds should produce different Monte Carlo samples but statistically compatible prices.</w:t>
      </w:r>
    </w:p>
    <w:p>
      <w:pPr>
        <w:pStyle w:val="ListBullet"/>
        <w:spacing w:after="40"/>
      </w:pPr>
      <w:r>
        <w:t>Use more than one seed when validating an LSM calibration or published benchmark.</w:t>
      </w:r>
    </w:p>
    <w:p>
      <w:pPr>
        <w:pStyle w:val="ListBullet"/>
        <w:spacing w:after="40"/>
      </w:pPr>
      <w:r>
        <w:t>Do not select a seed because it happens to match a target value; report the seed or aggregate across repetitions.</w:t>
      </w:r>
    </w:p>
    <w:p>
      <w:pPr>
        <w:pStyle w:val="Heading1"/>
        <w:keepNext/>
      </w:pPr>
      <w:r>
        <w:t>28. Barrier identities and regression checks</w:t>
      </w:r>
    </w:p>
    <w:p>
      <w:pPr>
        <w:spacing w:after="120"/>
      </w:pPr>
      <w:r>
        <w:t>Barrier tests are most useful when treated as algebraic identities and limiting-case tutorials. They validate product wiring independently of any one analytical benchmark.</w:t>
      </w:r>
    </w:p>
    <w:p>
      <w:pPr>
        <w:pStyle w:val="Heading2"/>
        <w:keepNext/>
      </w:pPr>
      <w:r>
        <w:t>28.1 Down and up in/out parity</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vanilla = api_price(vanilla_payload)</w:t>
              <w:br/>
              <w:t>knock_in = api_price(barrier_payload | {</w:t>
              <w:br/>
              <w:t xml:space="preserve">    "barrier": "DownAndInBarrier",</w:t>
              <w:br/>
              <w:t xml:space="preserve">    "down_barrier": 90.0</w:t>
              <w:br/>
              <w:t>})</w:t>
              <w:br/>
              <w:t>knock_out = api_price(barrier_payload | {</w:t>
              <w:br/>
              <w:t xml:space="preserve">    "barrier": "DownAndOutBarrier",</w:t>
              <w:br/>
              <w:t xml:space="preserve">    "down_barrier": 90.0</w:t>
              <w:br/>
              <w:t>})</w:t>
              <w:br/>
              <w:br/>
              <w:t>gap = vanilla["price"] - knock_in["price"] - knock_out["price"]</w:t>
            </w:r>
          </w:p>
        </w:tc>
      </w:tr>
    </w:tbl>
    <w:p>
      <w:pPr>
        <w:spacing w:after="20"/>
      </w:pPr>
    </w:p>
    <w:p>
      <w:pPr>
        <w:spacing w:after="120"/>
      </w:pPr>
      <w:r>
        <w:t>With zero rebates and identical monitoring, vanilla = knock-in + knock-out. The same principle applies to up barriers. Compare the parity gap against a tolerance based on all three standard errors.</w:t>
      </w:r>
    </w:p>
    <w:p>
      <w:pPr>
        <w:pStyle w:val="Heading2"/>
        <w:keepNext/>
      </w:pPr>
      <w:r>
        <w:t>28.2 Double-barrier and mixed-barrier identities</w:t>
      </w:r>
    </w:p>
    <w:tbl>
      <w:tblPr>
        <w:tblStyle w:val="TableGrid"/>
        <w:tblW w:type="auto" w:w="0"/>
        <w:jc w:val="center"/>
        <w:tblLook w:firstColumn="1" w:firstRow="1" w:lastColumn="0" w:lastRow="0" w:noHBand="0" w:noVBand="1" w:val="04A0"/>
      </w:tblPr>
      <w:tblGrid>
        <w:gridCol w:w="5083"/>
        <w:gridCol w:w="5083"/>
      </w:tblGrid>
      <w:tr>
        <w:trPr>
          <w:cantSplit/>
        </w:trPr>
        <w:tc>
          <w:tcPr>
            <w:tcW w:type="dxa" w:w="5083"/>
            <w:shd w:fill="1F4E78"/>
            <w:vAlign w:val="center"/>
            <w:tcMar>
              <w:top w:w="80" w:type="dxa"/>
              <w:start w:w="100" w:type="dxa"/>
              <w:bottom w:w="80" w:type="dxa"/>
              <w:end w:w="100" w:type="dxa"/>
            </w:tcMar>
          </w:tcPr>
          <w:p>
            <w:r>
              <w:rPr>
                <w:b/>
                <w:color w:val="FFFFFF"/>
                <w:sz w:val="16"/>
              </w:rPr>
              <w:t>Diagnostic</w:t>
            </w:r>
          </w:p>
        </w:tc>
        <w:tc>
          <w:tcPr>
            <w:tcW w:type="dxa" w:w="5083"/>
            <w:shd w:fill="1F4E78"/>
            <w:vAlign w:val="center"/>
            <w:tcMar>
              <w:top w:w="80" w:type="dxa"/>
              <w:start w:w="100" w:type="dxa"/>
              <w:bottom w:w="80" w:type="dxa"/>
              <w:end w:w="100" w:type="dxa"/>
            </w:tcMar>
          </w:tcPr>
          <w:p>
            <w:r>
              <w:rPr>
                <w:b/>
                <w:color w:val="FFFFFF"/>
                <w:sz w:val="16"/>
              </w:rPr>
              <w:t>Expected behaviour</w:t>
            </w:r>
          </w:p>
        </w:tc>
      </w:tr>
      <w:tr>
        <w:trPr>
          <w:cantSplit/>
        </w:trPr>
        <w:tc>
          <w:tcPr>
            <w:tcW w:type="dxa" w:w="5083"/>
            <w:tcMar>
              <w:top w:w="80" w:type="dxa"/>
              <w:start w:w="100" w:type="dxa"/>
              <w:bottom w:w="80" w:type="dxa"/>
              <w:end w:w="100" w:type="dxa"/>
            </w:tcMar>
            <w:vAlign w:val="top"/>
          </w:tcPr>
          <w:p>
            <w:r>
              <w:rPr>
                <w:sz w:val="16"/>
              </w:rPr>
              <w:t>Double knock-in + double knock-out</w:t>
            </w:r>
          </w:p>
        </w:tc>
        <w:tc>
          <w:tcPr>
            <w:tcW w:type="dxa" w:w="5083"/>
            <w:tcMar>
              <w:top w:w="80" w:type="dxa"/>
              <w:start w:w="100" w:type="dxa"/>
              <w:bottom w:w="80" w:type="dxa"/>
              <w:end w:w="100" w:type="dxa"/>
            </w:tcMar>
            <w:vAlign w:val="top"/>
          </w:tcPr>
          <w:p>
            <w:r>
              <w:rPr>
                <w:sz w:val="16"/>
              </w:rPr>
              <w:t>Recovers vanilla under complementary definitions and zero rebates.</w:t>
            </w:r>
          </w:p>
        </w:tc>
      </w:tr>
      <w:tr>
        <w:trPr>
          <w:cantSplit/>
        </w:trPr>
        <w:tc>
          <w:tcPr>
            <w:tcW w:type="dxa" w:w="5083"/>
            <w:tcMar>
              <w:top w:w="80" w:type="dxa"/>
              <w:start w:w="100" w:type="dxa"/>
              <w:bottom w:w="80" w:type="dxa"/>
              <w:end w:w="100" w:type="dxa"/>
            </w:tcMar>
            <w:vAlign w:val="top"/>
          </w:tcPr>
          <w:p>
            <w:r>
              <w:rPr>
                <w:sz w:val="16"/>
              </w:rPr>
              <w:t>Very wide double knock-out</w:t>
            </w:r>
          </w:p>
        </w:tc>
        <w:tc>
          <w:tcPr>
            <w:tcW w:type="dxa" w:w="5083"/>
            <w:tcMar>
              <w:top w:w="80" w:type="dxa"/>
              <w:start w:w="100" w:type="dxa"/>
              <w:bottom w:w="80" w:type="dxa"/>
              <w:end w:w="100" w:type="dxa"/>
            </w:tcMar>
            <w:vAlign w:val="top"/>
          </w:tcPr>
          <w:p>
            <w:r>
              <w:rPr>
                <w:sz w:val="16"/>
              </w:rPr>
              <w:t>Approaches vanilla because neither barrier is reached.</w:t>
            </w:r>
          </w:p>
        </w:tc>
      </w:tr>
      <w:tr>
        <w:trPr>
          <w:cantSplit/>
        </w:trPr>
        <w:tc>
          <w:tcPr>
            <w:tcW w:type="dxa" w:w="5083"/>
            <w:tcMar>
              <w:top w:w="80" w:type="dxa"/>
              <w:start w:w="100" w:type="dxa"/>
              <w:bottom w:w="80" w:type="dxa"/>
              <w:end w:w="100" w:type="dxa"/>
            </w:tcMar>
            <w:vAlign w:val="top"/>
          </w:tcPr>
          <w:p>
            <w:r>
              <w:rPr>
                <w:sz w:val="16"/>
              </w:rPr>
              <w:t>UpKI/DownKO with inactive lower barrier</w:t>
            </w:r>
          </w:p>
        </w:tc>
        <w:tc>
          <w:tcPr>
            <w:tcW w:type="dxa" w:w="5083"/>
            <w:tcMar>
              <w:top w:w="80" w:type="dxa"/>
              <w:start w:w="100" w:type="dxa"/>
              <w:bottom w:w="80" w:type="dxa"/>
              <w:end w:w="100" w:type="dxa"/>
            </w:tcMar>
            <w:vAlign w:val="top"/>
          </w:tcPr>
          <w:p>
            <w:r>
              <w:rPr>
                <w:sz w:val="16"/>
              </w:rPr>
              <w:t>Reduces to an up-and-in option.</w:t>
            </w:r>
          </w:p>
        </w:tc>
      </w:tr>
      <w:tr>
        <w:trPr>
          <w:cantSplit/>
        </w:trPr>
        <w:tc>
          <w:tcPr>
            <w:tcW w:type="dxa" w:w="5083"/>
            <w:tcMar>
              <w:top w:w="80" w:type="dxa"/>
              <w:start w:w="100" w:type="dxa"/>
              <w:bottom w:w="80" w:type="dxa"/>
              <w:end w:w="100" w:type="dxa"/>
            </w:tcMar>
            <w:vAlign w:val="top"/>
          </w:tcPr>
          <w:p>
            <w:r>
              <w:rPr>
                <w:sz w:val="16"/>
              </w:rPr>
              <w:t>UpKO/DownKI with inactive upper barrier</w:t>
            </w:r>
          </w:p>
        </w:tc>
        <w:tc>
          <w:tcPr>
            <w:tcW w:type="dxa" w:w="5083"/>
            <w:tcMar>
              <w:top w:w="80" w:type="dxa"/>
              <w:start w:w="100" w:type="dxa"/>
              <w:bottom w:w="80" w:type="dxa"/>
              <w:end w:w="100" w:type="dxa"/>
            </w:tcMar>
            <w:vAlign w:val="top"/>
          </w:tcPr>
          <w:p>
            <w:r>
              <w:rPr>
                <w:sz w:val="16"/>
              </w:rPr>
              <w:t>Reduces to a down-and-in option.</w:t>
            </w:r>
          </w:p>
        </w:tc>
      </w:tr>
      <w:tr>
        <w:trPr>
          <w:cantSplit/>
        </w:trPr>
        <w:tc>
          <w:tcPr>
            <w:tcW w:type="dxa" w:w="5083"/>
            <w:tcMar>
              <w:top w:w="80" w:type="dxa"/>
              <w:start w:w="100" w:type="dxa"/>
              <w:bottom w:w="80" w:type="dxa"/>
              <w:end w:w="100" w:type="dxa"/>
            </w:tcMar>
            <w:vAlign w:val="top"/>
          </w:tcPr>
          <w:p>
            <w:r>
              <w:rPr>
                <w:sz w:val="16"/>
              </w:rPr>
              <w:t>Mixed barrier orders</w:t>
            </w:r>
          </w:p>
        </w:tc>
        <w:tc>
          <w:tcPr>
            <w:tcW w:type="dxa" w:w="5083"/>
            <w:tcMar>
              <w:top w:w="80" w:type="dxa"/>
              <w:start w:w="100" w:type="dxa"/>
              <w:bottom w:w="80" w:type="dxa"/>
              <w:end w:w="100" w:type="dxa"/>
            </w:tcMar>
            <w:vAlign w:val="top"/>
          </w:tcPr>
          <w:p>
            <w:r>
              <w:rPr>
                <w:sz w:val="16"/>
              </w:rPr>
              <w:t>UpKI/DownKO and UpKO/DownKI should generally produce distinct values.</w:t>
            </w:r>
          </w:p>
        </w:tc>
      </w:tr>
      <w:tr>
        <w:trPr>
          <w:cantSplit/>
        </w:trPr>
        <w:tc>
          <w:tcPr>
            <w:tcW w:type="dxa" w:w="5083"/>
            <w:tcMar>
              <w:top w:w="80" w:type="dxa"/>
              <w:start w:w="100" w:type="dxa"/>
              <w:bottom w:w="80" w:type="dxa"/>
              <w:end w:w="100" w:type="dxa"/>
            </w:tcMar>
            <w:vAlign w:val="top"/>
          </w:tcPr>
          <w:p>
            <w:r>
              <w:rPr>
                <w:sz w:val="16"/>
              </w:rPr>
              <w:t>Rebate-in parameter on knock-out product</w:t>
            </w:r>
          </w:p>
        </w:tc>
        <w:tc>
          <w:tcPr>
            <w:tcW w:type="dxa" w:w="5083"/>
            <w:tcMar>
              <w:top w:w="80" w:type="dxa"/>
              <w:start w:w="100" w:type="dxa"/>
              <w:bottom w:w="80" w:type="dxa"/>
              <w:end w:w="100" w:type="dxa"/>
            </w:tcMar>
            <w:vAlign w:val="top"/>
          </w:tcPr>
          <w:p>
            <w:r>
              <w:rPr>
                <w:sz w:val="16"/>
              </w:rPr>
              <w:t>Must not act as a global multiplier of the option value.</w:t>
            </w:r>
          </w:p>
        </w:tc>
      </w:tr>
    </w:tbl>
    <w:p>
      <w:pPr>
        <w:spacing w:after="40"/>
      </w:pPr>
    </w:p>
    <w:p>
      <w:pPr>
        <w:pStyle w:val="Heading2"/>
        <w:keepNext/>
      </w:pPr>
      <w:r>
        <w:t>28.3 Base barrier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"European",</w:t>
              <w:br/>
              <w:t xml:space="preserve">  "option_type": "Call",</w:t>
              <w:br/>
              <w:t xml:space="preserve">  "underlying": "PathIndependentOption",</w:t>
              <w:br/>
              <w:t xml:space="preserve">  "wrapper_order": "Barrier on underlying",</w:t>
              <w:br/>
              <w:t xml:space="preserve">  "barrier": "UpKnockInDownKnockOutBarrier",</w:t>
              <w:br/>
              <w:t xml:space="preserve">  "up_barrier": 110.0,</w:t>
              <w:br/>
              <w:t xml:space="preserve">  "down_barrier": 90.0,</w:t>
              <w:br/>
              <w:t xml:space="preserve">  "rebate_in": 0.0,</w:t>
              <w:br/>
              <w:t xml:space="preserve">  "rebate_out": 0.0,</w:t>
              <w:br/>
              <w:t xml:space="preserve">  "S0": 100.0, "K": 100.0,</w:t>
              <w:br/>
              <w:t xml:space="preserve">  "r": 0.05, "sigma": 0.20, "y": 0.0, "T": 1.0,</w:t>
              <w:br/>
              <w:t xml:space="preserve">  "M": 64, "N": 100000, "seed": 12345</w:t>
              <w:br/>
              <w:t>}</w:t>
            </w:r>
          </w:p>
        </w:tc>
      </w:tr>
    </w:tbl>
    <w:p>
      <w:pPr>
        <w:spacing w:after="20"/>
      </w:pP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Monitoring convention: </w:t>
            </w:r>
            <w:r>
              <w:t>These regressions test the engine’s discrete path-monitoring convention. An analytical continuous-monitoring formula may require a discrete-barrier correction before it is used as a numerical anchor.</w:t>
            </w:r>
          </w:p>
        </w:tc>
      </w:tr>
    </w:tbl>
    <w:p>
      <w:pPr>
        <w:spacing w:after="20"/>
      </w:pPr>
    </w:p>
    <w:p>
      <w:pPr>
        <w:pStyle w:val="Heading1"/>
        <w:keepNext/>
      </w:pPr>
      <w:r>
        <w:t>29. Nested-wrapper diagnostics and Greeks</w:t>
      </w:r>
    </w:p>
    <w:p>
      <w:pPr>
        <w:spacing w:after="120"/>
      </w:pPr>
      <w:r>
        <w:t>Nested wrappers are order-sensitive. “Lookback on Barrier” and “Barrier on Lookback” describe different payoff constructions and should not be treated as interchangeable text labels.</w:t>
      </w:r>
    </w:p>
    <w:p>
      <w:pPr>
        <w:pStyle w:val="Heading2"/>
        <w:keepNext/>
      </w:pPr>
      <w:r>
        <w:t>29.1 Lookback on barrier</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"European",</w:t>
              <w:br/>
              <w:t xml:space="preserve">  "option_type": "Call",</w:t>
              <w:br/>
              <w:t xml:space="preserve">  "underlying": "PathIndependentOption",</w:t>
              <w:br/>
              <w:t xml:space="preserve">  "wrapper_order": "Lookback on Barrier on underlying",</w:t>
              <w:br/>
              <w:t xml:space="preserve">  "lookback": "LookbacksFixedStrike",</w:t>
              <w:br/>
              <w:t xml:space="preserve">  "barrier": "DoubleKnockOutBarrier",</w:t>
              <w:br/>
              <w:t xml:space="preserve">  "up_barrier": 108.0,</w:t>
              <w:br/>
              <w:t xml:space="preserve">  "down_barrier": 94.0,</w:t>
              <w:br/>
              <w:t xml:space="preserve">  "rebate_in": 0.0,</w:t>
              <w:br/>
              <w:t xml:space="preserve">  "rebate_out": 0.0,</w:t>
              <w:br/>
              <w:t xml:space="preserve">  "S0": 100.0, "K": 100.0,</w:t>
              <w:br/>
              <w:t xml:space="preserve">  "r": 0.05, "sigma": 0.20, "y": 0.0, "T": 1.0,</w:t>
              <w:br/>
              <w:t xml:space="preserve">  "M": 64, "N": 30000, "seed": 24680</w:t>
              <w:br/>
              <w:t>}</w:t>
            </w:r>
          </w:p>
        </w:tc>
      </w:tr>
    </w:tbl>
    <w:p>
      <w:pPr>
        <w:spacing w:after="20"/>
      </w:pPr>
    </w:p>
    <w:p>
      <w:pPr>
        <w:pStyle w:val="Heading2"/>
        <w:keepNext/>
      </w:pPr>
      <w:r>
        <w:t>29.2 Barrier on lookback</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w:t>
              <w:br/>
              <w:t xml:space="preserve">  "exercise": "European",</w:t>
              <w:br/>
              <w:t xml:space="preserve">  "option_type": "Call",</w:t>
              <w:br/>
              <w:t xml:space="preserve">  "underlying": "PathIndependentOption",</w:t>
              <w:br/>
              <w:t xml:space="preserve">  "wrapper_order": "Barrier on Lookback on underlying",</w:t>
              <w:br/>
              <w:t xml:space="preserve">  "lookback": "LookbacksFixedStrike",</w:t>
              <w:br/>
              <w:t xml:space="preserve">  "barrier": "DoubleKnockOutBarrier",</w:t>
              <w:br/>
              <w:t xml:space="preserve">  "up_barrier": 108.0,</w:t>
              <w:br/>
              <w:t xml:space="preserve">  "down_barrier": 94.0,</w:t>
              <w:br/>
              <w:t xml:space="preserve">  "rebate_in": 0.0,</w:t>
              <w:br/>
              <w:t xml:space="preserve">  "rebate_out": 0.0,</w:t>
              <w:br/>
              <w:t xml:space="preserve">  "S0": 100.0, "K": 100.0,</w:t>
              <w:br/>
              <w:t xml:space="preserve">  "r": 0.05, "sigma": 0.20, "y": 0.0, "T": 1.0,</w:t>
              <w:br/>
              <w:t xml:space="preserve">  "M": 64, "N": 30000, "seed": 24680</w:t>
              <w:br/>
              <w:t>}</w:t>
            </w:r>
          </w:p>
        </w:tc>
      </w:tr>
    </w:tbl>
    <w:p>
      <w:pPr>
        <w:spacing w:after="20"/>
      </w:pPr>
    </w:p>
    <w:p>
      <w:pPr>
        <w:pStyle w:val="Heading2"/>
        <w:keepNext/>
      </w:pPr>
      <w:r>
        <w:t>29.3 What to verify</w:t>
      </w:r>
    </w:p>
    <w:p>
      <w:pPr>
        <w:pStyle w:val="ListBullet"/>
        <w:spacing w:after="40"/>
      </w:pPr>
      <w:r>
        <w:t>The two wrapper orders should produce materially different prices for a non-degenerate barrier region.</w:t>
      </w:r>
    </w:p>
    <w:p>
      <w:pPr>
        <w:pStyle w:val="ListBullet"/>
        <w:spacing w:after="40"/>
      </w:pPr>
      <w:r>
        <w:t>Lookback-on-barrier should differ from the barrier-only product; barrier-on-lookback should differ from the lookback-only product.</w:t>
      </w:r>
    </w:p>
    <w:p>
      <w:pPr>
        <w:pStyle w:val="ListBullet"/>
        <w:spacing w:after="40"/>
      </w:pPr>
      <w:r>
        <w:t>Calling the same product with greeks=false and greeks=true must not change the unbumped base price beyond numerical roundoff.</w:t>
      </w:r>
    </w:p>
    <w:p>
      <w:pPr>
        <w:pStyle w:val="ListBullet"/>
        <w:spacing w:after="40"/>
      </w:pPr>
      <w:r>
        <w:t>config_echo.wrapper_order, barrier, lookback, up_barrier and down_barrier should reproduce the request exactly.</w:t>
      </w:r>
    </w:p>
    <w:p>
      <w:pPr>
        <w:pStyle w:val="ListBullet"/>
        <w:spacing w:after="40"/>
      </w:pPr>
      <w:r>
        <w:t>The same seed and request should be exactly reproducible.</w:t>
      </w:r>
    </w:p>
    <w:p>
      <w:pPr>
        <w:pStyle w:val="Heading2"/>
        <w:keepNext/>
      </w:pPr>
      <w:r>
        <w:t>29.4 Sensitivities endpoint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r>
              <w:t>result = price(**(nested_payload | {</w:t>
              <w:br/>
              <w:t xml:space="preserve">    "greeks": True,</w:t>
              <w:br/>
              <w:t xml:space="preserve">    "Hessian": False,</w:t>
              <w:br/>
              <w:t xml:space="preserve">    "sensitivity_parameters": ["S0", "sigma", "r", "T"],</w:t>
              <w:br/>
              <w:t xml:space="preserve">    "Perturbation": 1.0e-4,</w:t>
              <w:br/>
              <w:t>}))</w:t>
              <w:br/>
              <w:t>print(result["price"])</w:t>
              <w:br/>
              <w:t>print(result.get("greeks"))</w:t>
            </w:r>
          </w:p>
        </w:tc>
      </w:tr>
    </w:tbl>
    <w:p>
      <w:pPr>
        <w:spacing w:after="20"/>
      </w:pPr>
    </w:p>
    <w:p>
      <w:pPr>
        <w:pStyle w:val="Heading1"/>
        <w:keepNext/>
      </w:pPr>
      <w:r>
        <w:t>30. Running the extended validation suite</w:t>
      </w:r>
    </w:p>
    <w:p>
      <w:pPr>
        <w:spacing w:after="120"/>
      </w:pPr>
      <w:r>
        <w:t>The following command runs the ten newly supplied regression and diagnostic files. File names contain parentheses, so quote every path in Windows shells.</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python -m pytest -q -v \</w:t>
              <w:br/>
              <w:t xml:space="preserve">  "RegressionMedvedevScaillet_API_ONLY(4).py" \</w:t>
              <w:br/>
              <w:t xml:space="preserve">  "RegressionNestedWrappers_API_ONLY(4).py" \</w:t>
              <w:br/>
              <w:t xml:space="preserve">  "CheckCIR_REWRITTEN(1).py" \</w:t>
              <w:br/>
              <w:t xml:space="preserve">  "DiagnoseStochasticDividend_REWRITTEN(1).py" \</w:t>
              <w:br/>
              <w:t xml:space="preserve">  "test_degrees_API_ONLY(2).py" \</w:t>
              <w:br/>
              <w:t xml:space="preserve">  "test_seeds_API_ONLY(2).py" \</w:t>
              <w:br/>
              <w:t xml:space="preserve">  "RegressionBarrierParity_API_ONLY(4).py" \</w:t>
              <w:br/>
              <w:t xml:space="preserve">  "RegressionBarriers_API_ONLY(3).py" \</w:t>
              <w:br/>
              <w:t xml:space="preserve">  "RegressionHestonTable3_API_ONLY(4).py" \</w:t>
              <w:br/>
              <w:t xml:space="preserve">  "RegressionLongstaffTable1_API_ONLY(4).py"</w:t>
            </w:r>
          </w:p>
        </w:tc>
      </w:tr>
    </w:tbl>
    <w:p>
      <w:pPr>
        <w:spacing w:after="20"/>
      </w:pPr>
    </w:p>
    <w:p>
      <w:pPr>
        <w:pStyle w:val="Heading2"/>
        <w:keepNext/>
      </w:pPr>
      <w:r>
        <w:t>30.1 Fast development runs</w:t>
      </w:r>
    </w:p>
    <w:p>
      <w:pPr>
        <w:spacing w:after="120"/>
      </w:pPr>
      <w:r>
        <w:t>Each file exposes environment variables for path count, steps, seed and tolerances. Reduce path counts while developing, then restore the benchmark scale for final validation.</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6"/>
              </w:rPr>
              <w:t>set HESTON_N_PATHS=10000</w:t>
              <w:br/>
              <w:t>set HESTON_N_STEPS=50</w:t>
              <w:br/>
              <w:t>set HESTON_SEED=0</w:t>
              <w:br/>
              <w:t>python -m pytest -q -v "RegressionHestonTable3_API_ONLY(4).py"</w:t>
            </w:r>
          </w:p>
        </w:tc>
      </w:tr>
    </w:tbl>
    <w:p>
      <w:pPr>
        <w:spacing w:after="20"/>
      </w:pPr>
    </w:p>
    <w:p>
      <w:pPr>
        <w:pStyle w:val="Heading2"/>
        <w:keepNext/>
      </w:pPr>
      <w:r>
        <w:t>30.2 Selected environment-variable families</w:t>
      </w:r>
    </w:p>
    <w:tbl>
      <w:tblPr>
        <w:tblStyle w:val="TableGrid"/>
        <w:tblW w:type="auto" w:w="0"/>
        <w:jc w:val="center"/>
        <w:tblLook w:firstColumn="1" w:firstRow="1" w:lastColumn="0" w:lastRow="0" w:noHBand="0" w:noVBand="1" w:val="04A0"/>
      </w:tblPr>
      <w:tblGrid>
        <w:gridCol w:w="3389"/>
        <w:gridCol w:w="3389"/>
        <w:gridCol w:w="3389"/>
      </w:tblGrid>
      <w:tr>
        <w:trPr>
          <w:cantSplit/>
        </w:trPr>
        <w:tc>
          <w:tcPr>
            <w:tcW w:type="dxa" w:w="3389"/>
            <w:shd w:fill="1F4E78"/>
            <w:vAlign w:val="center"/>
            <w:tcMar>
              <w:top w:w="80" w:type="dxa"/>
              <w:start w:w="100" w:type="dxa"/>
              <w:bottom w:w="80" w:type="dxa"/>
              <w:end w:w="100" w:type="dxa"/>
            </w:tcMar>
          </w:tcPr>
          <w:p>
            <w:r>
              <w:rPr>
                <w:b/>
                <w:color w:val="FFFFFF"/>
                <w:sz w:val="16"/>
              </w:rPr>
              <w:t>File family</w:t>
            </w:r>
          </w:p>
        </w:tc>
        <w:tc>
          <w:tcPr>
            <w:tcW w:type="dxa" w:w="3389"/>
            <w:shd w:fill="1F4E78"/>
            <w:vAlign w:val="center"/>
            <w:tcMar>
              <w:top w:w="80" w:type="dxa"/>
              <w:start w:w="100" w:type="dxa"/>
              <w:bottom w:w="80" w:type="dxa"/>
              <w:end w:w="100" w:type="dxa"/>
            </w:tcMar>
          </w:tcPr>
          <w:p>
            <w:r>
              <w:rPr>
                <w:b/>
                <w:color w:val="FFFFFF"/>
                <w:sz w:val="16"/>
              </w:rPr>
              <w:t>Common prefix</w:t>
            </w:r>
          </w:p>
        </w:tc>
        <w:tc>
          <w:tcPr>
            <w:tcW w:type="dxa" w:w="3389"/>
            <w:shd w:fill="1F4E78"/>
            <w:vAlign w:val="center"/>
            <w:tcMar>
              <w:top w:w="80" w:type="dxa"/>
              <w:start w:w="100" w:type="dxa"/>
              <w:bottom w:w="80" w:type="dxa"/>
              <w:end w:w="100" w:type="dxa"/>
            </w:tcMar>
          </w:tcPr>
          <w:p>
            <w:r>
              <w:rPr>
                <w:b/>
                <w:color w:val="FFFFFF"/>
                <w:sz w:val="16"/>
              </w:rPr>
              <w:t>Examples</w:t>
            </w:r>
          </w:p>
        </w:tc>
      </w:tr>
      <w:tr>
        <w:trPr>
          <w:cantSplit/>
        </w:trPr>
        <w:tc>
          <w:tcPr>
            <w:tcW w:type="dxa" w:w="3389"/>
            <w:tcMar>
              <w:top w:w="80" w:type="dxa"/>
              <w:start w:w="100" w:type="dxa"/>
              <w:bottom w:w="80" w:type="dxa"/>
              <w:end w:w="100" w:type="dxa"/>
            </w:tcMar>
            <w:vAlign w:val="top"/>
          </w:tcPr>
          <w:p>
            <w:r>
              <w:rPr>
                <w:sz w:val="16"/>
              </w:rPr>
              <w:t>Medvedev-Scaillet</w:t>
            </w:r>
          </w:p>
        </w:tc>
        <w:tc>
          <w:tcPr>
            <w:tcW w:type="dxa" w:w="3389"/>
            <w:tcMar>
              <w:top w:w="80" w:type="dxa"/>
              <w:start w:w="100" w:type="dxa"/>
              <w:bottom w:w="80" w:type="dxa"/>
              <w:end w:w="100" w:type="dxa"/>
            </w:tcMar>
            <w:vAlign w:val="top"/>
          </w:tcPr>
          <w:p>
            <w:r>
              <w:rPr>
                <w:sz w:val="16"/>
              </w:rPr>
              <w:t>MS_</w:t>
            </w:r>
          </w:p>
        </w:tc>
        <w:tc>
          <w:tcPr>
            <w:tcW w:type="dxa" w:w="3389"/>
            <w:tcMar>
              <w:top w:w="80" w:type="dxa"/>
              <w:start w:w="100" w:type="dxa"/>
              <w:bottom w:w="80" w:type="dxa"/>
              <w:end w:w="100" w:type="dxa"/>
            </w:tcMar>
            <w:vAlign w:val="top"/>
          </w:tcPr>
          <w:p>
            <w:r>
              <w:rPr>
                <w:sz w:val="16"/>
              </w:rPr>
              <w:t>MS_N_PATHS, MS_N_STEPS, MS_SEED, MS_REG_DEGREE, MS_STRICT</w:t>
            </w:r>
          </w:p>
        </w:tc>
      </w:tr>
      <w:tr>
        <w:trPr>
          <w:cantSplit/>
        </w:trPr>
        <w:tc>
          <w:tcPr>
            <w:tcW w:type="dxa" w:w="3389"/>
            <w:tcMar>
              <w:top w:w="80" w:type="dxa"/>
              <w:start w:w="100" w:type="dxa"/>
              <w:bottom w:w="80" w:type="dxa"/>
              <w:end w:w="100" w:type="dxa"/>
            </w:tcMar>
            <w:vAlign w:val="top"/>
          </w:tcPr>
          <w:p>
            <w:r>
              <w:rPr>
                <w:sz w:val="16"/>
              </w:rPr>
              <w:t>Nested wrappers</w:t>
            </w:r>
          </w:p>
        </w:tc>
        <w:tc>
          <w:tcPr>
            <w:tcW w:type="dxa" w:w="3389"/>
            <w:tcMar>
              <w:top w:w="80" w:type="dxa"/>
              <w:start w:w="100" w:type="dxa"/>
              <w:bottom w:w="80" w:type="dxa"/>
              <w:end w:w="100" w:type="dxa"/>
            </w:tcMar>
            <w:vAlign w:val="top"/>
          </w:tcPr>
          <w:p>
            <w:r>
              <w:rPr>
                <w:sz w:val="16"/>
              </w:rPr>
              <w:t>NESTED_</w:t>
            </w:r>
          </w:p>
        </w:tc>
        <w:tc>
          <w:tcPr>
            <w:tcW w:type="dxa" w:w="3389"/>
            <w:tcMar>
              <w:top w:w="80" w:type="dxa"/>
              <w:start w:w="100" w:type="dxa"/>
              <w:bottom w:w="80" w:type="dxa"/>
              <w:end w:w="100" w:type="dxa"/>
            </w:tcMar>
            <w:vAlign w:val="top"/>
          </w:tcPr>
          <w:p>
            <w:r>
              <w:rPr>
                <w:sz w:val="16"/>
              </w:rPr>
              <w:t>NESTED_N_PATHS, NESTED_N_STEPS, NESTED_SEED, NESTED_TOL_SE</w:t>
            </w:r>
          </w:p>
        </w:tc>
      </w:tr>
      <w:tr>
        <w:trPr>
          <w:cantSplit/>
        </w:trPr>
        <w:tc>
          <w:tcPr>
            <w:tcW w:type="dxa" w:w="3389"/>
            <w:tcMar>
              <w:top w:w="80" w:type="dxa"/>
              <w:start w:w="100" w:type="dxa"/>
              <w:bottom w:w="80" w:type="dxa"/>
              <w:end w:w="100" w:type="dxa"/>
            </w:tcMar>
            <w:vAlign w:val="top"/>
          </w:tcPr>
          <w:p>
            <w:r>
              <w:rPr>
                <w:sz w:val="16"/>
              </w:rPr>
              <w:t>CIR and dividend diagnostics</w:t>
            </w:r>
          </w:p>
        </w:tc>
        <w:tc>
          <w:tcPr>
            <w:tcW w:type="dxa" w:w="3389"/>
            <w:tcMar>
              <w:top w:w="80" w:type="dxa"/>
              <w:start w:w="100" w:type="dxa"/>
              <w:bottom w:w="80" w:type="dxa"/>
              <w:end w:w="100" w:type="dxa"/>
            </w:tcMar>
            <w:vAlign w:val="top"/>
          </w:tcPr>
          <w:p>
            <w:r>
              <w:rPr>
                <w:sz w:val="16"/>
              </w:rPr>
              <w:t>BENCH_</w:t>
            </w:r>
          </w:p>
        </w:tc>
        <w:tc>
          <w:tcPr>
            <w:tcW w:type="dxa" w:w="3389"/>
            <w:tcMar>
              <w:top w:w="80" w:type="dxa"/>
              <w:start w:w="100" w:type="dxa"/>
              <w:bottom w:w="80" w:type="dxa"/>
              <w:end w:w="100" w:type="dxa"/>
            </w:tcMar>
            <w:vAlign w:val="top"/>
          </w:tcPr>
          <w:p>
            <w:r>
              <w:rPr>
                <w:sz w:val="16"/>
              </w:rPr>
              <w:t>BENCH_N_PATHS or BENCH_PATH_COUNTS, BENCH_N_STEPS, BENCH_HESSIAN, BENCH_RETAINED</w:t>
            </w:r>
          </w:p>
        </w:tc>
      </w:tr>
      <w:tr>
        <w:trPr>
          <w:cantSplit/>
        </w:trPr>
        <w:tc>
          <w:tcPr>
            <w:tcW w:type="dxa" w:w="3389"/>
            <w:tcMar>
              <w:top w:w="80" w:type="dxa"/>
              <w:start w:w="100" w:type="dxa"/>
              <w:bottom w:w="80" w:type="dxa"/>
              <w:end w:w="100" w:type="dxa"/>
            </w:tcMar>
            <w:vAlign w:val="top"/>
          </w:tcPr>
          <w:p>
            <w:r>
              <w:rPr>
                <w:sz w:val="16"/>
              </w:rPr>
              <w:t>Degree stability</w:t>
            </w:r>
          </w:p>
        </w:tc>
        <w:tc>
          <w:tcPr>
            <w:tcW w:type="dxa" w:w="3389"/>
            <w:tcMar>
              <w:top w:w="80" w:type="dxa"/>
              <w:start w:w="100" w:type="dxa"/>
              <w:bottom w:w="80" w:type="dxa"/>
              <w:end w:w="100" w:type="dxa"/>
            </w:tcMar>
            <w:vAlign w:val="top"/>
          </w:tcPr>
          <w:p>
            <w:r>
              <w:rPr>
                <w:sz w:val="16"/>
              </w:rPr>
              <w:t>DEGREES_TEST_</w:t>
            </w:r>
          </w:p>
        </w:tc>
        <w:tc>
          <w:tcPr>
            <w:tcW w:type="dxa" w:w="3389"/>
            <w:tcMar>
              <w:top w:w="80" w:type="dxa"/>
              <w:start w:w="100" w:type="dxa"/>
              <w:bottom w:w="80" w:type="dxa"/>
              <w:end w:w="100" w:type="dxa"/>
            </w:tcMar>
            <w:vAlign w:val="top"/>
          </w:tcPr>
          <w:p>
            <w:r>
              <w:rPr>
                <w:sz w:val="16"/>
              </w:rPr>
              <w:t>DEGREES_TEST_N_PATHS, DEGREES_TEST_N_STEPS, DEGREES_TEST_SEED</w:t>
            </w:r>
          </w:p>
        </w:tc>
      </w:tr>
      <w:tr>
        <w:trPr>
          <w:cantSplit/>
        </w:trPr>
        <w:tc>
          <w:tcPr>
            <w:tcW w:type="dxa" w:w="3389"/>
            <w:tcMar>
              <w:top w:w="80" w:type="dxa"/>
              <w:start w:w="100" w:type="dxa"/>
              <w:bottom w:w="80" w:type="dxa"/>
              <w:end w:w="100" w:type="dxa"/>
            </w:tcMar>
            <w:vAlign w:val="top"/>
          </w:tcPr>
          <w:p>
            <w:r>
              <w:rPr>
                <w:sz w:val="16"/>
              </w:rPr>
              <w:t>Seed robustness</w:t>
            </w:r>
          </w:p>
        </w:tc>
        <w:tc>
          <w:tcPr>
            <w:tcW w:type="dxa" w:w="3389"/>
            <w:tcMar>
              <w:top w:w="80" w:type="dxa"/>
              <w:start w:w="100" w:type="dxa"/>
              <w:bottom w:w="80" w:type="dxa"/>
              <w:end w:w="100" w:type="dxa"/>
            </w:tcMar>
            <w:vAlign w:val="top"/>
          </w:tcPr>
          <w:p>
            <w:r>
              <w:rPr>
                <w:sz w:val="16"/>
              </w:rPr>
              <w:t>SEEDS_TEST_</w:t>
            </w:r>
          </w:p>
        </w:tc>
        <w:tc>
          <w:tcPr>
            <w:tcW w:type="dxa" w:w="3389"/>
            <w:tcMar>
              <w:top w:w="80" w:type="dxa"/>
              <w:start w:w="100" w:type="dxa"/>
              <w:bottom w:w="80" w:type="dxa"/>
              <w:end w:w="100" w:type="dxa"/>
            </w:tcMar>
            <w:vAlign w:val="top"/>
          </w:tcPr>
          <w:p>
            <w:r>
              <w:rPr>
                <w:sz w:val="16"/>
              </w:rPr>
              <w:t>SEEDS_TEST_N_PATHS, SEEDS_TEST_N_STEPS, SEEDS_TEST_REG_DEGREE</w:t>
            </w:r>
          </w:p>
        </w:tc>
      </w:tr>
      <w:tr>
        <w:trPr>
          <w:cantSplit/>
        </w:trPr>
        <w:tc>
          <w:tcPr>
            <w:tcW w:type="dxa" w:w="3389"/>
            <w:tcMar>
              <w:top w:w="80" w:type="dxa"/>
              <w:start w:w="100" w:type="dxa"/>
              <w:bottom w:w="80" w:type="dxa"/>
              <w:end w:w="100" w:type="dxa"/>
            </w:tcMar>
            <w:vAlign w:val="top"/>
          </w:tcPr>
          <w:p>
            <w:r>
              <w:rPr>
                <w:sz w:val="16"/>
              </w:rPr>
              <w:t>Barrier parity</w:t>
            </w:r>
          </w:p>
        </w:tc>
        <w:tc>
          <w:tcPr>
            <w:tcW w:type="dxa" w:w="3389"/>
            <w:tcMar>
              <w:top w:w="80" w:type="dxa"/>
              <w:start w:w="100" w:type="dxa"/>
              <w:bottom w:w="80" w:type="dxa"/>
              <w:end w:w="100" w:type="dxa"/>
            </w:tcMar>
            <w:vAlign w:val="top"/>
          </w:tcPr>
          <w:p>
            <w:r>
              <w:rPr>
                <w:sz w:val="16"/>
              </w:rPr>
              <w:t>BARRIER_PARITY_</w:t>
            </w:r>
          </w:p>
        </w:tc>
        <w:tc>
          <w:tcPr>
            <w:tcW w:type="dxa" w:w="3389"/>
            <w:tcMar>
              <w:top w:w="80" w:type="dxa"/>
              <w:start w:w="100" w:type="dxa"/>
              <w:bottom w:w="80" w:type="dxa"/>
              <w:end w:w="100" w:type="dxa"/>
            </w:tcMar>
            <w:vAlign w:val="top"/>
          </w:tcPr>
          <w:p>
            <w:r>
              <w:rPr>
                <w:sz w:val="16"/>
              </w:rPr>
              <w:t>BARRIER_PARITY_N_PATHS, BARRIER_PARITY_STEPS, BARRIER_PARITY_SEED</w:t>
            </w:r>
          </w:p>
        </w:tc>
      </w:tr>
      <w:tr>
        <w:trPr>
          <w:cantSplit/>
        </w:trPr>
        <w:tc>
          <w:tcPr>
            <w:tcW w:type="dxa" w:w="3389"/>
            <w:tcMar>
              <w:top w:w="80" w:type="dxa"/>
              <w:start w:w="100" w:type="dxa"/>
              <w:bottom w:w="80" w:type="dxa"/>
              <w:end w:w="100" w:type="dxa"/>
            </w:tcMar>
            <w:vAlign w:val="top"/>
          </w:tcPr>
          <w:p>
            <w:r>
              <w:rPr>
                <w:sz w:val="16"/>
              </w:rPr>
              <w:t>Barrier regression</w:t>
            </w:r>
          </w:p>
        </w:tc>
        <w:tc>
          <w:tcPr>
            <w:tcW w:type="dxa" w:w="3389"/>
            <w:tcMar>
              <w:top w:w="80" w:type="dxa"/>
              <w:start w:w="100" w:type="dxa"/>
              <w:bottom w:w="80" w:type="dxa"/>
              <w:end w:w="100" w:type="dxa"/>
            </w:tcMar>
            <w:vAlign w:val="top"/>
          </w:tcPr>
          <w:p>
            <w:r>
              <w:rPr>
                <w:sz w:val="16"/>
              </w:rPr>
              <w:t>BARRIER_REGRESSION_</w:t>
            </w:r>
          </w:p>
        </w:tc>
        <w:tc>
          <w:tcPr>
            <w:tcW w:type="dxa" w:w="3389"/>
            <w:tcMar>
              <w:top w:w="80" w:type="dxa"/>
              <w:start w:w="100" w:type="dxa"/>
              <w:bottom w:w="80" w:type="dxa"/>
              <w:end w:w="100" w:type="dxa"/>
            </w:tcMar>
            <w:vAlign w:val="top"/>
          </w:tcPr>
          <w:p>
            <w:r>
              <w:rPr>
                <w:sz w:val="16"/>
              </w:rPr>
              <w:t>BARRIER_REGRESSION_N_PATHS, BARRIER_REGRESSION_STEPS</w:t>
            </w:r>
          </w:p>
        </w:tc>
      </w:tr>
      <w:tr>
        <w:trPr>
          <w:cantSplit/>
        </w:trPr>
        <w:tc>
          <w:tcPr>
            <w:tcW w:type="dxa" w:w="3389"/>
            <w:tcMar>
              <w:top w:w="80" w:type="dxa"/>
              <w:start w:w="100" w:type="dxa"/>
              <w:bottom w:w="80" w:type="dxa"/>
              <w:end w:w="100" w:type="dxa"/>
            </w:tcMar>
            <w:vAlign w:val="top"/>
          </w:tcPr>
          <w:p>
            <w:r>
              <w:rPr>
                <w:sz w:val="16"/>
              </w:rPr>
              <w:t>Heston Table 3</w:t>
            </w:r>
          </w:p>
        </w:tc>
        <w:tc>
          <w:tcPr>
            <w:tcW w:type="dxa" w:w="3389"/>
            <w:tcMar>
              <w:top w:w="80" w:type="dxa"/>
              <w:start w:w="100" w:type="dxa"/>
              <w:bottom w:w="80" w:type="dxa"/>
              <w:end w:w="100" w:type="dxa"/>
            </w:tcMar>
            <w:vAlign w:val="top"/>
          </w:tcPr>
          <w:p>
            <w:r>
              <w:rPr>
                <w:sz w:val="16"/>
              </w:rPr>
              <w:t>HESTON_</w:t>
            </w:r>
          </w:p>
        </w:tc>
        <w:tc>
          <w:tcPr>
            <w:tcW w:type="dxa" w:w="3389"/>
            <w:tcMar>
              <w:top w:w="80" w:type="dxa"/>
              <w:start w:w="100" w:type="dxa"/>
              <w:bottom w:w="80" w:type="dxa"/>
              <w:end w:w="100" w:type="dxa"/>
            </w:tcMar>
            <w:vAlign w:val="top"/>
          </w:tcPr>
          <w:p>
            <w:r>
              <w:rPr>
                <w:sz w:val="16"/>
              </w:rPr>
              <w:t>HESTON_N_PATHS, HESTON_N_STEPS, HESTON_REG_DEGREE, HESTON_STRICT</w:t>
            </w:r>
          </w:p>
        </w:tc>
      </w:tr>
      <w:tr>
        <w:trPr>
          <w:cantSplit/>
        </w:trPr>
        <w:tc>
          <w:tcPr>
            <w:tcW w:type="dxa" w:w="3389"/>
            <w:tcMar>
              <w:top w:w="80" w:type="dxa"/>
              <w:start w:w="100" w:type="dxa"/>
              <w:bottom w:w="80" w:type="dxa"/>
              <w:end w:w="100" w:type="dxa"/>
            </w:tcMar>
            <w:vAlign w:val="top"/>
          </w:tcPr>
          <w:p>
            <w:r>
              <w:rPr>
                <w:sz w:val="16"/>
              </w:rPr>
              <w:t>Longstaff Table 1</w:t>
            </w:r>
          </w:p>
        </w:tc>
        <w:tc>
          <w:tcPr>
            <w:tcW w:type="dxa" w:w="3389"/>
            <w:tcMar>
              <w:top w:w="80" w:type="dxa"/>
              <w:start w:w="100" w:type="dxa"/>
              <w:bottom w:w="80" w:type="dxa"/>
              <w:end w:w="100" w:type="dxa"/>
            </w:tcMar>
            <w:vAlign w:val="top"/>
          </w:tcPr>
          <w:p>
            <w:r>
              <w:rPr>
                <w:sz w:val="16"/>
              </w:rPr>
              <w:t>LONGSTAFF_</w:t>
            </w:r>
          </w:p>
        </w:tc>
        <w:tc>
          <w:tcPr>
            <w:tcW w:type="dxa" w:w="3389"/>
            <w:tcMar>
              <w:top w:w="80" w:type="dxa"/>
              <w:start w:w="100" w:type="dxa"/>
              <w:bottom w:w="80" w:type="dxa"/>
              <w:end w:w="100" w:type="dxa"/>
            </w:tcMar>
            <w:vAlign w:val="top"/>
          </w:tcPr>
          <w:p>
            <w:r>
              <w:rPr>
                <w:sz w:val="16"/>
              </w:rPr>
              <w:t>LONGSTAFF_N_PATHS, LONGSTAFF_EXERCISE_PER_YEAR, LONGSTAFF_REG_DEGREE</w:t>
            </w:r>
          </w:p>
        </w:tc>
      </w:tr>
    </w:tbl>
    <w:p>
      <w:pPr>
        <w:spacing w:after="40"/>
      </w:pPr>
    </w:p>
    <w:tbl>
      <w:tblPr>
        <w:tblW w:type="auto" w:w="0"/>
        <w:jc w:val="center"/>
        <w:tblLook w:firstColumn="1" w:firstRow="1" w:lastColumn="0" w:lastRow="0" w:noHBand="0" w:noVBand="1" w:val="04A0"/>
      </w:tblPr>
      <w:tblGrid>
        <w:gridCol w:w="10166"/>
      </w:tblGrid>
      <w:tr>
        <w:tc>
          <w:tcPr>
            <w:tcW w:type="dxa" w:w="10166"/>
            <w:shd w:fill="FCE4D6"/>
            <w:tcMar>
              <w:top w:w="120" w:type="dxa"/>
              <w:start w:w="140" w:type="dxa"/>
              <w:bottom w:w="120" w:type="dxa"/>
              <w:end w:w="140" w:type="dxa"/>
            </w:tcMar>
          </w:tcPr>
          <w:p>
            <w:r>
              <w:rPr>
                <w:b/>
              </w:rPr>
              <w:t xml:space="preserve">Strict benchmark mode: </w:t>
            </w:r>
            <w:r>
              <w:t>The Heston and Medvedev-Scaillet suites include strict-mode controls. Use strict mode for release validation; use a non-strict diagnostic mode only when deliberately investigating numerical bias or a known implementation discrepancy.</w:t>
            </w:r>
          </w:p>
        </w:tc>
      </w:tr>
    </w:tbl>
    <w:p>
      <w:pPr>
        <w:spacing w:after="20"/>
      </w:pPr>
    </w:p>
    <w:p>
      <w:pPr>
        <w:pStyle w:val="Heading1"/>
        <w:keepNext/>
      </w:pPr>
      <w:r>
        <w:t>Appendix C. Extended tutorial source map</w:t>
      </w:r>
    </w:p>
    <w:tbl>
      <w:tblPr>
        <w:tblStyle w:val="TableGrid"/>
        <w:tblW w:type="auto" w:w="0"/>
        <w:jc w:val="center"/>
        <w:tblLook w:firstColumn="1" w:firstRow="1" w:lastColumn="0" w:lastRow="0" w:noHBand="0" w:noVBand="1" w:val="04A0"/>
      </w:tblPr>
      <w:tblGrid>
        <w:gridCol w:w="5083"/>
        <w:gridCol w:w="5083"/>
      </w:tblGrid>
      <w:tr>
        <w:trPr>
          <w:cantSplit/>
        </w:trPr>
        <w:tc>
          <w:tcPr>
            <w:tcW w:type="dxa" w:w="5083"/>
            <w:shd w:fill="1F4E78"/>
            <w:vAlign w:val="center"/>
            <w:tcMar>
              <w:top w:w="80" w:type="dxa"/>
              <w:start w:w="100" w:type="dxa"/>
              <w:bottom w:w="80" w:type="dxa"/>
              <w:end w:w="100" w:type="dxa"/>
            </w:tcMar>
          </w:tcPr>
          <w:p>
            <w:r>
              <w:rPr>
                <w:b/>
                <w:color w:val="FFFFFF"/>
                <w:sz w:val="16"/>
              </w:rPr>
              <w:t>Source file</w:t>
            </w:r>
          </w:p>
        </w:tc>
        <w:tc>
          <w:tcPr>
            <w:tcW w:type="dxa" w:w="5083"/>
            <w:shd w:fill="1F4E78"/>
            <w:vAlign w:val="center"/>
            <w:tcMar>
              <w:top w:w="80" w:type="dxa"/>
              <w:start w:w="100" w:type="dxa"/>
              <w:bottom w:w="80" w:type="dxa"/>
              <w:end w:w="100" w:type="dxa"/>
            </w:tcMar>
          </w:tcPr>
          <w:p>
            <w:r>
              <w:rPr>
                <w:b/>
                <w:color w:val="FFFFFF"/>
                <w:sz w:val="16"/>
              </w:rPr>
              <w:t>Tutorial coverage</w:t>
            </w:r>
          </w:p>
        </w:tc>
      </w:tr>
      <w:tr>
        <w:trPr>
          <w:cantSplit/>
        </w:trPr>
        <w:tc>
          <w:tcPr>
            <w:tcW w:type="dxa" w:w="5083"/>
            <w:tcMar>
              <w:top w:w="80" w:type="dxa"/>
              <w:start w:w="100" w:type="dxa"/>
              <w:bottom w:w="80" w:type="dxa"/>
              <w:end w:w="100" w:type="dxa"/>
            </w:tcMar>
            <w:vAlign w:val="top"/>
          </w:tcPr>
          <w:p>
            <w:r>
              <w:rPr>
                <w:sz w:val="16"/>
              </w:rPr>
              <w:t>RegressionLongstaffTable1_API_ONLY(4).py</w:t>
            </w:r>
          </w:p>
        </w:tc>
        <w:tc>
          <w:tcPr>
            <w:tcW w:type="dxa" w:w="5083"/>
            <w:tcMar>
              <w:top w:w="80" w:type="dxa"/>
              <w:start w:w="100" w:type="dxa"/>
              <w:bottom w:w="80" w:type="dxa"/>
              <w:end w:w="100" w:type="dxa"/>
            </w:tcMar>
            <w:vAlign w:val="top"/>
          </w:tcPr>
          <w:p>
            <w:r>
              <w:rPr>
                <w:sz w:val="16"/>
              </w:rPr>
              <w:t>Full Longstaff-Schwartz Table 1 grid, American-versus-European premium, paper agreement and reproducibility.</w:t>
            </w:r>
          </w:p>
        </w:tc>
      </w:tr>
      <w:tr>
        <w:trPr>
          <w:cantSplit/>
        </w:trPr>
        <w:tc>
          <w:tcPr>
            <w:tcW w:type="dxa" w:w="5083"/>
            <w:tcMar>
              <w:top w:w="80" w:type="dxa"/>
              <w:start w:w="100" w:type="dxa"/>
              <w:bottom w:w="80" w:type="dxa"/>
              <w:end w:w="100" w:type="dxa"/>
            </w:tcMar>
            <w:vAlign w:val="top"/>
          </w:tcPr>
          <w:p>
            <w:r>
              <w:rPr>
                <w:sz w:val="16"/>
              </w:rPr>
              <w:t>RegressionHestonTable3_API_ONLY(4).py</w:t>
            </w:r>
          </w:p>
        </w:tc>
        <w:tc>
          <w:tcPr>
            <w:tcW w:type="dxa" w:w="5083"/>
            <w:tcMar>
              <w:top w:w="80" w:type="dxa"/>
              <w:start w:w="100" w:type="dxa"/>
              <w:bottom w:w="80" w:type="dxa"/>
              <w:end w:w="100" w:type="dxa"/>
            </w:tcMar>
            <w:vAlign w:val="top"/>
          </w:tcPr>
          <w:p>
            <w:r>
              <w:rPr>
                <w:sz w:val="16"/>
              </w:rPr>
              <w:t>Heston American-call Table 3 grid, published confidence intervals, aggregate bias and reproducibility.</w:t>
            </w:r>
          </w:p>
        </w:tc>
      </w:tr>
      <w:tr>
        <w:trPr>
          <w:cantSplit/>
        </w:trPr>
        <w:tc>
          <w:tcPr>
            <w:tcW w:type="dxa" w:w="5083"/>
            <w:tcMar>
              <w:top w:w="80" w:type="dxa"/>
              <w:start w:w="100" w:type="dxa"/>
              <w:bottom w:w="80" w:type="dxa"/>
              <w:end w:w="100" w:type="dxa"/>
            </w:tcMar>
            <w:vAlign w:val="top"/>
          </w:tcPr>
          <w:p>
            <w:r>
              <w:rPr>
                <w:sz w:val="16"/>
              </w:rPr>
              <w:t>RegressionMedvedevScaillet_API_ONLY(4).py</w:t>
            </w:r>
          </w:p>
        </w:tc>
        <w:tc>
          <w:tcPr>
            <w:tcW w:type="dxa" w:w="5083"/>
            <w:tcMar>
              <w:top w:w="80" w:type="dxa"/>
              <w:start w:w="100" w:type="dxa"/>
              <w:bottom w:w="80" w:type="dxa"/>
              <w:end w:w="100" w:type="dxa"/>
            </w:tcMar>
            <w:vAlign w:val="top"/>
          </w:tcPr>
          <w:p>
            <w:r>
              <w:rPr>
                <w:sz w:val="16"/>
              </w:rPr>
              <w:t>Joint Heston-CIR American puts, three-factor correlations, panel benchmarking and aggregate bias.</w:t>
            </w:r>
          </w:p>
        </w:tc>
      </w:tr>
      <w:tr>
        <w:trPr>
          <w:cantSplit/>
        </w:trPr>
        <w:tc>
          <w:tcPr>
            <w:tcW w:type="dxa" w:w="5083"/>
            <w:tcMar>
              <w:top w:w="80" w:type="dxa"/>
              <w:start w:w="100" w:type="dxa"/>
              <w:bottom w:w="80" w:type="dxa"/>
              <w:end w:w="100" w:type="dxa"/>
            </w:tcMar>
            <w:vAlign w:val="top"/>
          </w:tcPr>
          <w:p>
            <w:r>
              <w:rPr>
                <w:sz w:val="16"/>
              </w:rPr>
              <w:t>CheckCIR_REWRITTEN(1).py</w:t>
            </w:r>
          </w:p>
        </w:tc>
        <w:tc>
          <w:tcPr>
            <w:tcW w:type="dxa" w:w="5083"/>
            <w:tcMar>
              <w:top w:w="80" w:type="dxa"/>
              <w:start w:w="100" w:type="dxa"/>
              <w:bottom w:w="80" w:type="dxa"/>
              <w:end w:w="100" w:type="dxa"/>
            </w:tcMar>
            <w:vAlign w:val="top"/>
          </w:tcPr>
          <w:p>
            <w:r>
              <w:rPr>
                <w:sz w:val="16"/>
              </w:rPr>
              <w:t>CIR activation, Feller diagnostic, degenerate constant-rate limit, convergence, retained variables, Greeks and optional Hessian.</w:t>
            </w:r>
          </w:p>
        </w:tc>
      </w:tr>
      <w:tr>
        <w:trPr>
          <w:cantSplit/>
        </w:trPr>
        <w:tc>
          <w:tcPr>
            <w:tcW w:type="dxa" w:w="5083"/>
            <w:tcMar>
              <w:top w:w="80" w:type="dxa"/>
              <w:start w:w="100" w:type="dxa"/>
              <w:bottom w:w="80" w:type="dxa"/>
              <w:end w:w="100" w:type="dxa"/>
            </w:tcMar>
            <w:vAlign w:val="top"/>
          </w:tcPr>
          <w:p>
            <w:r>
              <w:rPr>
                <w:sz w:val="16"/>
              </w:rPr>
              <w:t>DiagnoseStochasticDividend_REWRITTEN(1).py</w:t>
            </w:r>
          </w:p>
        </w:tc>
        <w:tc>
          <w:tcPr>
            <w:tcW w:type="dxa" w:w="5083"/>
            <w:tcMar>
              <w:top w:w="80" w:type="dxa"/>
              <w:start w:w="100" w:type="dxa"/>
              <w:bottom w:w="80" w:type="dxa"/>
              <w:end w:w="100" w:type="dxa"/>
            </w:tcMar>
            <w:vAlign w:val="top"/>
          </w:tcPr>
          <w:p>
            <w:r>
              <w:rPr>
                <w:sz w:val="16"/>
              </w:rPr>
              <w:t>Constant/stochastic dividend comparison, parity diagnostics, limiting cases, retained variables and sensitivities.</w:t>
            </w:r>
          </w:p>
        </w:tc>
      </w:tr>
      <w:tr>
        <w:trPr>
          <w:cantSplit/>
        </w:trPr>
        <w:tc>
          <w:tcPr>
            <w:tcW w:type="dxa" w:w="5083"/>
            <w:tcMar>
              <w:top w:w="80" w:type="dxa"/>
              <w:start w:w="100" w:type="dxa"/>
              <w:bottom w:w="80" w:type="dxa"/>
              <w:end w:w="100" w:type="dxa"/>
            </w:tcMar>
            <w:vAlign w:val="top"/>
          </w:tcPr>
          <w:p>
            <w:r>
              <w:rPr>
                <w:sz w:val="16"/>
              </w:rPr>
              <w:t>test_degrees_API_ONLY(2).py</w:t>
            </w:r>
          </w:p>
        </w:tc>
        <w:tc>
          <w:tcPr>
            <w:tcW w:type="dxa" w:w="5083"/>
            <w:tcMar>
              <w:top w:w="80" w:type="dxa"/>
              <w:start w:w="100" w:type="dxa"/>
              <w:bottom w:w="80" w:type="dxa"/>
              <w:end w:w="100" w:type="dxa"/>
            </w:tcMar>
            <w:vAlign w:val="top"/>
          </w:tcPr>
          <w:p>
            <w:r>
              <w:rPr>
                <w:sz w:val="16"/>
              </w:rPr>
              <w:t>LSM polynomial-degree stability for a Heston American call.</w:t>
            </w:r>
          </w:p>
        </w:tc>
      </w:tr>
      <w:tr>
        <w:trPr>
          <w:cantSplit/>
        </w:trPr>
        <w:tc>
          <w:tcPr>
            <w:tcW w:type="dxa" w:w="5083"/>
            <w:tcMar>
              <w:top w:w="80" w:type="dxa"/>
              <w:start w:w="100" w:type="dxa"/>
              <w:bottom w:w="80" w:type="dxa"/>
              <w:end w:w="100" w:type="dxa"/>
            </w:tcMar>
            <w:vAlign w:val="top"/>
          </w:tcPr>
          <w:p>
            <w:r>
              <w:rPr>
                <w:sz w:val="16"/>
              </w:rPr>
              <w:t>test_seeds_API_ONLY(2).py</w:t>
            </w:r>
          </w:p>
        </w:tc>
        <w:tc>
          <w:tcPr>
            <w:tcW w:type="dxa" w:w="5083"/>
            <w:tcMar>
              <w:top w:w="80" w:type="dxa"/>
              <w:start w:w="100" w:type="dxa"/>
              <w:bottom w:w="80" w:type="dxa"/>
              <w:end w:w="100" w:type="dxa"/>
            </w:tcMar>
            <w:vAlign w:val="top"/>
          </w:tcPr>
          <w:p>
            <w:r>
              <w:rPr>
                <w:sz w:val="16"/>
              </w:rPr>
              <w:t>Cross-seed statistical robustness and exact same-seed reproducibility.</w:t>
            </w:r>
          </w:p>
        </w:tc>
      </w:tr>
      <w:tr>
        <w:trPr>
          <w:cantSplit/>
        </w:trPr>
        <w:tc>
          <w:tcPr>
            <w:tcW w:type="dxa" w:w="5083"/>
            <w:tcMar>
              <w:top w:w="80" w:type="dxa"/>
              <w:start w:w="100" w:type="dxa"/>
              <w:bottom w:w="80" w:type="dxa"/>
              <w:end w:w="100" w:type="dxa"/>
            </w:tcMar>
            <w:vAlign w:val="top"/>
          </w:tcPr>
          <w:p>
            <w:r>
              <w:rPr>
                <w:sz w:val="16"/>
              </w:rPr>
              <w:t>RegressionBarrierParity_API_ONLY(4).py</w:t>
            </w:r>
          </w:p>
        </w:tc>
        <w:tc>
          <w:tcPr>
            <w:tcW w:type="dxa" w:w="5083"/>
            <w:tcMar>
              <w:top w:w="80" w:type="dxa"/>
              <w:start w:w="100" w:type="dxa"/>
              <w:bottom w:w="80" w:type="dxa"/>
              <w:end w:w="100" w:type="dxa"/>
            </w:tcMar>
            <w:vAlign w:val="top"/>
          </w:tcPr>
          <w:p>
            <w:r>
              <w:rPr>
                <w:sz w:val="16"/>
              </w:rPr>
              <w:t>Down/up/double barrier in-out parity with Monte Carlo tolerances.</w:t>
            </w:r>
          </w:p>
        </w:tc>
      </w:tr>
      <w:tr>
        <w:trPr>
          <w:cantSplit/>
        </w:trPr>
        <w:tc>
          <w:tcPr>
            <w:tcW w:type="dxa" w:w="5083"/>
            <w:tcMar>
              <w:top w:w="80" w:type="dxa"/>
              <w:start w:w="100" w:type="dxa"/>
              <w:bottom w:w="80" w:type="dxa"/>
              <w:end w:w="100" w:type="dxa"/>
            </w:tcMar>
            <w:vAlign w:val="top"/>
          </w:tcPr>
          <w:p>
            <w:r>
              <w:rPr>
                <w:sz w:val="16"/>
              </w:rPr>
              <w:t>RegressionBarriers_API_ONLY(3).py</w:t>
            </w:r>
          </w:p>
        </w:tc>
        <w:tc>
          <w:tcPr>
            <w:tcW w:type="dxa" w:w="5083"/>
            <w:tcMar>
              <w:top w:w="80" w:type="dxa"/>
              <w:start w:w="100" w:type="dxa"/>
              <w:bottom w:w="80" w:type="dxa"/>
              <w:end w:w="100" w:type="dxa"/>
            </w:tcMar>
            <w:vAlign w:val="top"/>
          </w:tcPr>
          <w:p>
            <w:r>
              <w:rPr>
                <w:sz w:val="16"/>
              </w:rPr>
              <w:t>Barrier rebates, mixed barriers, limiting identities, configuration resolution and reproducibility.</w:t>
            </w:r>
          </w:p>
        </w:tc>
      </w:tr>
      <w:tr>
        <w:trPr>
          <w:cantSplit/>
        </w:trPr>
        <w:tc>
          <w:tcPr>
            <w:tcW w:type="dxa" w:w="5083"/>
            <w:tcMar>
              <w:top w:w="80" w:type="dxa"/>
              <w:start w:w="100" w:type="dxa"/>
              <w:bottom w:w="80" w:type="dxa"/>
              <w:end w:w="100" w:type="dxa"/>
            </w:tcMar>
            <w:vAlign w:val="top"/>
          </w:tcPr>
          <w:p>
            <w:r>
              <w:rPr>
                <w:sz w:val="16"/>
              </w:rPr>
              <w:t>RegressionNestedWrappers_API_ONLY(4).py</w:t>
            </w:r>
          </w:p>
        </w:tc>
        <w:tc>
          <w:tcPr>
            <w:tcW w:type="dxa" w:w="5083"/>
            <w:tcMar>
              <w:top w:w="80" w:type="dxa"/>
              <w:start w:w="100" w:type="dxa"/>
              <w:bottom w:w="80" w:type="dxa"/>
              <w:end w:w="100" w:type="dxa"/>
            </w:tcMar>
            <w:vAlign w:val="top"/>
          </w:tcPr>
          <w:p>
            <w:r>
              <w:rPr>
                <w:sz w:val="16"/>
              </w:rPr>
              <w:t>Order-sensitive nested lookback/barrier products, Greek toggle invariance and reproducibility.</w:t>
            </w:r>
          </w:p>
        </w:tc>
      </w:tr>
    </w:tbl>
    <w:p>
      <w:pPr>
        <w:spacing w:after="40"/>
      </w:pP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Source basis: </w:t>
            </w:r>
            <w:r>
              <w:t>The tutorial examples are derived from the supplied flat public price() regression and diagnostic files. They are expressed as REST request bodies because the API schema mirrors the named price() arguments.</w:t>
            </w:r>
          </w:p>
        </w:tc>
      </w:tr>
    </w:tbl>
    <w:p>
      <w:pPr>
        <w:spacing w:after="20"/>
      </w:pPr>
    </w:p>
    <w:p>
      <w:r>
        <w:br w:type="page"/>
      </w:r>
    </w:p>
    <w:p>
      <w:pPr>
        <w:pStyle w:val="Heading1"/>
        <w:keepNext/>
      </w:pPr>
      <w:r>
        <w:t>31. Variance reduction: control variates</w:t>
      </w:r>
    </w:p>
    <w:p>
      <w:pPr>
        <w:spacing w:after="120"/>
      </w:pPr>
      <w:r>
        <w:t>The control-variate API estimates a target option and a correlated control option on the same simulated paths. A calibration subset estimates the optimal coefficient beta; the remaining paths are used for the adjusted price. The supplied benchmark files cover vanilla, Asian, barrier and lookback targets, both calls and puts, and exact same-seed reproducibility.</w:t>
      </w:r>
    </w:p>
    <w:p>
      <w:pPr>
        <w:pStyle w:val="Heading2"/>
        <w:keepNext/>
      </w:pPr>
      <w:r>
        <w:t>31.1 Required control-variate fields</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Field</w:t>
            </w:r>
          </w:p>
        </w:tc>
        <w:tc>
          <w:tcPr>
            <w:tcW w:type="dxa" w:w="3389"/>
            <w:shd w:fill="1F4E78"/>
            <w:vAlign w:val="center"/>
            <w:tcMar>
              <w:top w:w="80" w:type="dxa"/>
              <w:start w:w="100" w:type="dxa"/>
              <w:bottom w:w="80" w:type="dxa"/>
              <w:end w:w="100" w:type="dxa"/>
            </w:tcMar>
          </w:tcPr>
          <w:p>
            <w:r>
              <w:rPr>
                <w:b/>
                <w:color w:val="FFFFFF"/>
                <w:sz w:val="16"/>
              </w:rPr>
              <w:t>Meaning</w:t>
            </w:r>
          </w:p>
        </w:tc>
        <w:tc>
          <w:tcPr>
            <w:tcW w:type="dxa" w:w="3389"/>
            <w:shd w:fill="1F4E78"/>
            <w:vAlign w:val="center"/>
            <w:tcMar>
              <w:top w:w="80" w:type="dxa"/>
              <w:start w:w="100" w:type="dxa"/>
              <w:bottom w:w="80" w:type="dxa"/>
              <w:end w:w="100" w:type="dxa"/>
            </w:tcMar>
          </w:tcPr>
          <w:p>
            <w:r>
              <w:rPr>
                <w:b/>
                <w:color w:val="FFFFFF"/>
                <w:sz w:val="16"/>
              </w:rPr>
              <w:t>Rule</w:t>
            </w:r>
          </w:p>
        </w:tc>
      </w:tr>
      <w:tr>
        <w:trPr>
          <w:cantSplit/>
        </w:trPr>
        <w:tc>
          <w:tcPr>
            <w:tcW w:type="dxa" w:w="3389"/>
            <w:tcMar>
              <w:top w:w="80" w:type="dxa"/>
              <w:start w:w="100" w:type="dxa"/>
              <w:bottom w:w="80" w:type="dxa"/>
              <w:end w:w="100" w:type="dxa"/>
            </w:tcMar>
            <w:vAlign w:val="top"/>
          </w:tcPr>
          <w:p>
            <w:r>
              <w:rPr>
                <w:sz w:val="16"/>
              </w:rPr>
              <w:t>control_variate</w:t>
            </w:r>
          </w:p>
        </w:tc>
        <w:tc>
          <w:tcPr>
            <w:tcW w:type="dxa" w:w="3389"/>
            <w:tcMar>
              <w:top w:w="80" w:type="dxa"/>
              <w:start w:w="100" w:type="dxa"/>
              <w:bottom w:w="80" w:type="dxa"/>
              <w:end w:w="100" w:type="dxa"/>
            </w:tcMar>
            <w:vAlign w:val="top"/>
          </w:tcPr>
          <w:p>
            <w:r>
              <w:rPr>
                <w:sz w:val="16"/>
              </w:rPr>
              <w:t>Activates the control-variate facade.</w:t>
            </w:r>
          </w:p>
        </w:tc>
        <w:tc>
          <w:tcPr>
            <w:tcW w:type="dxa" w:w="3389"/>
            <w:tcMar>
              <w:top w:w="80" w:type="dxa"/>
              <w:start w:w="100" w:type="dxa"/>
              <w:bottom w:w="80" w:type="dxa"/>
              <w:end w:w="100" w:type="dxa"/>
            </w:tcMar>
            <w:vAlign w:val="top"/>
          </w:tcPr>
          <w:p>
            <w:r>
              <w:rPr>
                <w:sz w:val="16"/>
              </w:rPr>
              <w:t>Set to true.</w:t>
            </w:r>
          </w:p>
        </w:tc>
      </w:tr>
      <w:tr>
        <w:trPr>
          <w:cantSplit/>
        </w:trPr>
        <w:tc>
          <w:tcPr>
            <w:tcW w:type="dxa" w:w="3389"/>
            <w:tcMar>
              <w:top w:w="80" w:type="dxa"/>
              <w:start w:w="100" w:type="dxa"/>
              <w:bottom w:w="80" w:type="dxa"/>
              <w:end w:w="100" w:type="dxa"/>
            </w:tcMar>
            <w:vAlign w:val="top"/>
          </w:tcPr>
          <w:p>
            <w:r>
              <w:rPr>
                <w:sz w:val="16"/>
              </w:rPr>
              <w:t>control_underlying</w:t>
            </w:r>
          </w:p>
        </w:tc>
        <w:tc>
          <w:tcPr>
            <w:tcW w:type="dxa" w:w="3389"/>
            <w:tcMar>
              <w:top w:w="80" w:type="dxa"/>
              <w:start w:w="100" w:type="dxa"/>
              <w:bottom w:w="80" w:type="dxa"/>
              <w:end w:w="100" w:type="dxa"/>
            </w:tcMar>
            <w:vAlign w:val="top"/>
          </w:tcPr>
          <w:p>
            <w:r>
              <w:rPr>
                <w:sz w:val="16"/>
              </w:rPr>
              <w:t>Path dependency of the control.</w:t>
            </w:r>
          </w:p>
        </w:tc>
        <w:tc>
          <w:tcPr>
            <w:tcW w:type="dxa" w:w="3389"/>
            <w:tcMar>
              <w:top w:w="80" w:type="dxa"/>
              <w:start w:w="100" w:type="dxa"/>
              <w:bottom w:w="80" w:type="dxa"/>
              <w:end w:w="100" w:type="dxa"/>
            </w:tcMar>
            <w:vAlign w:val="top"/>
          </w:tcPr>
          <w:p>
            <w:r>
              <w:rPr>
                <w:sz w:val="16"/>
              </w:rPr>
              <w:t>Must expose pathwise discounted payoffs.</w:t>
            </w:r>
          </w:p>
        </w:tc>
      </w:tr>
      <w:tr>
        <w:trPr>
          <w:cantSplit/>
        </w:trPr>
        <w:tc>
          <w:tcPr>
            <w:tcW w:type="dxa" w:w="3389"/>
            <w:tcMar>
              <w:top w:w="80" w:type="dxa"/>
              <w:start w:w="100" w:type="dxa"/>
              <w:bottom w:w="80" w:type="dxa"/>
              <w:end w:w="100" w:type="dxa"/>
            </w:tcMar>
            <w:vAlign w:val="top"/>
          </w:tcPr>
          <w:p>
            <w:r>
              <w:rPr>
                <w:sz w:val="16"/>
              </w:rPr>
              <w:t>control_option_type</w:t>
            </w:r>
          </w:p>
        </w:tc>
        <w:tc>
          <w:tcPr>
            <w:tcW w:type="dxa" w:w="3389"/>
            <w:tcMar>
              <w:top w:w="80" w:type="dxa"/>
              <w:start w:w="100" w:type="dxa"/>
              <w:bottom w:w="80" w:type="dxa"/>
              <w:end w:w="100" w:type="dxa"/>
            </w:tcMar>
            <w:vAlign w:val="top"/>
          </w:tcPr>
          <w:p>
            <w:r>
              <w:rPr>
                <w:sz w:val="16"/>
              </w:rPr>
              <w:t>Call, Put, DigitalCall or DigitalPut.</w:t>
            </w:r>
          </w:p>
        </w:tc>
        <w:tc>
          <w:tcPr>
            <w:tcW w:type="dxa" w:w="3389"/>
            <w:tcMar>
              <w:top w:w="80" w:type="dxa"/>
              <w:start w:w="100" w:type="dxa"/>
              <w:bottom w:w="80" w:type="dxa"/>
              <w:end w:w="100" w:type="dxa"/>
            </w:tcMar>
            <w:vAlign w:val="top"/>
          </w:tcPr>
          <w:p>
            <w:r>
              <w:rPr>
                <w:sz w:val="16"/>
              </w:rPr>
              <w:t>Defaults to the target payoff if omitted.</w:t>
            </w:r>
          </w:p>
        </w:tc>
      </w:tr>
      <w:tr>
        <w:trPr>
          <w:cantSplit/>
        </w:trPr>
        <w:tc>
          <w:tcPr>
            <w:tcW w:type="dxa" w:w="3389"/>
            <w:tcMar>
              <w:top w:w="80" w:type="dxa"/>
              <w:start w:w="100" w:type="dxa"/>
              <w:bottom w:w="80" w:type="dxa"/>
              <w:end w:w="100" w:type="dxa"/>
            </w:tcMar>
            <w:vAlign w:val="top"/>
          </w:tcPr>
          <w:p>
            <w:r>
              <w:rPr>
                <w:sz w:val="16"/>
              </w:rPr>
              <w:t>control_strike</w:t>
            </w:r>
          </w:p>
        </w:tc>
        <w:tc>
          <w:tcPr>
            <w:tcW w:type="dxa" w:w="3389"/>
            <w:tcMar>
              <w:top w:w="80" w:type="dxa"/>
              <w:start w:w="100" w:type="dxa"/>
              <w:bottom w:w="80" w:type="dxa"/>
              <w:end w:w="100" w:type="dxa"/>
            </w:tcMar>
            <w:vAlign w:val="top"/>
          </w:tcPr>
          <w:p>
            <w:r>
              <w:rPr>
                <w:sz w:val="16"/>
              </w:rPr>
              <w:t>Strike used by the control option.</w:t>
            </w:r>
          </w:p>
        </w:tc>
        <w:tc>
          <w:tcPr>
            <w:tcW w:type="dxa" w:w="3389"/>
            <w:tcMar>
              <w:top w:w="80" w:type="dxa"/>
              <w:start w:w="100" w:type="dxa"/>
              <w:bottom w:w="80" w:type="dxa"/>
              <w:end w:w="100" w:type="dxa"/>
            </w:tcMar>
            <w:vAlign w:val="top"/>
          </w:tcPr>
          <w:p>
            <w:r>
              <w:rPr>
                <w:sz w:val="16"/>
              </w:rPr>
              <w:t>Defaults to target K if omitted.</w:t>
            </w:r>
          </w:p>
        </w:tc>
      </w:tr>
      <w:tr>
        <w:trPr>
          <w:cantSplit/>
        </w:trPr>
        <w:tc>
          <w:tcPr>
            <w:tcW w:type="dxa" w:w="3389"/>
            <w:tcMar>
              <w:top w:w="80" w:type="dxa"/>
              <w:start w:w="100" w:type="dxa"/>
              <w:bottom w:w="80" w:type="dxa"/>
              <w:end w:w="100" w:type="dxa"/>
            </w:tcMar>
            <w:vAlign w:val="top"/>
          </w:tcPr>
          <w:p>
            <w:r>
              <w:rPr>
                <w:sz w:val="16"/>
              </w:rPr>
              <w:t>control_analytical_value</w:t>
            </w:r>
          </w:p>
        </w:tc>
        <w:tc>
          <w:tcPr>
            <w:tcW w:type="dxa" w:w="3389"/>
            <w:tcMar>
              <w:top w:w="80" w:type="dxa"/>
              <w:start w:w="100" w:type="dxa"/>
              <w:bottom w:w="80" w:type="dxa"/>
              <w:end w:w="100" w:type="dxa"/>
            </w:tcMar>
            <w:vAlign w:val="top"/>
          </w:tcPr>
          <w:p>
            <w:r>
              <w:rPr>
                <w:sz w:val="16"/>
              </w:rPr>
              <w:t>Known expected discounted control payoff.</w:t>
            </w:r>
          </w:p>
        </w:tc>
        <w:tc>
          <w:tcPr>
            <w:tcW w:type="dxa" w:w="3389"/>
            <w:tcMar>
              <w:top w:w="80" w:type="dxa"/>
              <w:start w:w="100" w:type="dxa"/>
              <w:bottom w:w="80" w:type="dxa"/>
              <w:end w:w="100" w:type="dxa"/>
            </w:tcMar>
            <w:vAlign w:val="top"/>
          </w:tcPr>
          <w:p>
            <w:r>
              <w:rPr>
                <w:sz w:val="16"/>
              </w:rPr>
              <w:t>Required and finite.</w:t>
            </w:r>
          </w:p>
        </w:tc>
      </w:tr>
      <w:tr>
        <w:trPr>
          <w:cantSplit/>
        </w:trPr>
        <w:tc>
          <w:tcPr>
            <w:tcW w:type="dxa" w:w="3389"/>
            <w:tcMar>
              <w:top w:w="80" w:type="dxa"/>
              <w:start w:w="100" w:type="dxa"/>
              <w:bottom w:w="80" w:type="dxa"/>
              <w:end w:w="100" w:type="dxa"/>
            </w:tcMar>
            <w:vAlign w:val="top"/>
          </w:tcPr>
          <w:p>
            <w:r>
              <w:rPr>
                <w:sz w:val="16"/>
              </w:rPr>
              <w:t>control_calibration_paths</w:t>
            </w:r>
          </w:p>
        </w:tc>
        <w:tc>
          <w:tcPr>
            <w:tcW w:type="dxa" w:w="3389"/>
            <w:tcMar>
              <w:top w:w="80" w:type="dxa"/>
              <w:start w:w="100" w:type="dxa"/>
              <w:bottom w:w="80" w:type="dxa"/>
              <w:end w:w="100" w:type="dxa"/>
            </w:tcMar>
            <w:vAlign w:val="top"/>
          </w:tcPr>
          <w:p>
            <w:r>
              <w:rPr>
                <w:sz w:val="16"/>
              </w:rPr>
              <w:t>Paths reserved to estimate beta.</w:t>
            </w:r>
          </w:p>
        </w:tc>
        <w:tc>
          <w:tcPr>
            <w:tcW w:type="dxa" w:w="3389"/>
            <w:tcMar>
              <w:top w:w="80" w:type="dxa"/>
              <w:start w:w="100" w:type="dxa"/>
              <w:bottom w:w="80" w:type="dxa"/>
              <w:end w:w="100" w:type="dxa"/>
            </w:tcMar>
            <w:vAlign w:val="top"/>
          </w:tcPr>
          <w:p>
            <w:r>
              <w:rPr>
                <w:sz w:val="16"/>
              </w:rPr>
              <w:t>Integer, at least 2 and strictly less than N.</w:t>
            </w:r>
          </w:p>
        </w:tc>
      </w:tr>
    </w:tbl>
    <w:p>
      <w:pPr>
        <w:spacing w:after="40"/>
      </w:pPr>
    </w:p>
    <w:p>
      <w:pPr>
        <w:pStyle w:val="Heading2"/>
        <w:keepNext/>
      </w:pPr>
      <w:r>
        <w:t>31.2 Vanilla option controlled by another vanilla option</w:t>
      </w:r>
    </w:p>
    <w:p>
      <w:pPr>
        <w:spacing w:after="120"/>
      </w:pPr>
      <w:r>
        <w:t>For a target vanilla call or put struck at K=100, the benchmark uses a highly correlated vanilla control with a different strike: 90 for the call and 110 for the put. The control expectation is the corresponding Black-Scholes value.</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w:t>
              <w:br/>
              <w:t xml:space="preserve">  "exercise": "European",</w:t>
              <w:br/>
              <w:t xml:space="preserve">  "option_type": "Call",</w:t>
              <w:br/>
              <w:t xml:space="preserve">  "underlying": "PathIndependentOption",</w:t>
              <w:br/>
              <w:t xml:space="preserve">  "wrapper_order": "Underlying only",</w:t>
              <w:br/>
              <w:t xml:space="preserve">  "S0": 100.0, "K": 100.0, "r": 0.05,</w:t>
              <w:br/>
              <w:t xml:space="preserve">  "sigma": 0.20, "y": 0.0, "T": 1.0,</w:t>
              <w:br/>
              <w:t xml:space="preserve">  "M": 50, "N": 10000, "seed": 0,</w:t>
              <w:br/>
              <w:t xml:space="preserve">  "random_generator": "Standard",</w:t>
              <w:br/>
              <w:t xml:space="preserve">  "sampling": "None", "wiener": "Vanilla",</w:t>
              <w:br/>
              <w:t xml:space="preserve">  "control_variate": true,</w:t>
              <w:br/>
              <w:t xml:space="preserve">  "control_underlying": "PathIndependentOption",</w:t>
              <w:br/>
              <w:t xml:space="preserve">  "control_option_type": "Call",</w:t>
              <w:br/>
              <w:t xml:space="preserve">  "control_strike": 90.0,</w:t>
              <w:br/>
              <w:t xml:space="preserve">  "control_analytical_value": 16.699448,</w:t>
              <w:br/>
              <w:t xml:space="preserve">  "control_calibration_paths": 2000,</w:t>
              <w:br/>
              <w:t xml:space="preserve">  "greeks": false,</w:t>
              <w:br/>
              <w:t xml:space="preserve">  "retained_variables": false</w:t>
              <w:br/>
              <w:t>}</w:t>
            </w:r>
          </w:p>
        </w:tc>
      </w:tr>
    </w:tbl>
    <w:p>
      <w:pPr>
        <w:spacing w:after="20"/>
      </w:pPr>
    </w:p>
    <w:p>
      <w:pPr>
        <w:spacing w:after="120"/>
      </w:pPr>
      <w:r>
        <w:t>The response includes the adjusted price and standard error together with raw_price_without_control_variate, control_variate_beta, control_variate_correlation, and calibration/pricing path counts. A successful variance-reduction setup has a finite beta, correlation in [-1,1], and a controlled standard error below the plain estimate.</w:t>
      </w:r>
    </w:p>
    <w:p>
      <w:pPr>
        <w:pStyle w:val="Heading2"/>
        <w:keepNext/>
      </w:pPr>
      <w:r>
        <w:t>31.3 Black-Scholes control value</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def black_scholes_value(payoff, S0, K, r, sigma, y, T):</w:t>
              <w:br/>
              <w:t xml:space="preserve">    root_t = math.sqrt(T)</w:t>
              <w:br/>
              <w:t xml:space="preserve">    d1 = (math.log(S0 / K) + (r-y+0.5*sigma*sigma)*T) / (sigma*root_t)</w:t>
              <w:br/>
              <w:t xml:space="preserve">    d2 = d1 - sigma*root_t</w:t>
              <w:br/>
              <w:t xml:space="preserve">    ds = S0 * math.exp(-y*T)</w:t>
              <w:br/>
              <w:t xml:space="preserve">    dk = K * math.exp(-r*T)</w:t>
              <w:br/>
              <w:t xml:space="preserve">    if payoff == "Call":</w:t>
              <w:br/>
              <w:t xml:space="preserve">        return ds*N(d1) - dk*N(d2)</w:t>
              <w:br/>
              <w:t xml:space="preserve">    return dk*N(-d2) - ds*N(-d1)</w:t>
            </w:r>
          </w:p>
        </w:tc>
      </w:tr>
    </w:tbl>
    <w:p>
      <w:pPr>
        <w:spacing w:after="20"/>
      </w:pP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Calibration split: </w:t>
            </w:r>
            <w:r>
              <w:t>The default calibration size is roughly N/5, but the benchmark passes it explicitly. Do not use the same calibration paths again in the pricing mean; the engine separates the two subsets.</w:t>
            </w:r>
          </w:p>
        </w:tc>
      </w:tr>
    </w:tbl>
    <w:p>
      <w:pPr>
        <w:spacing w:after="20"/>
      </w:pPr>
    </w:p>
    <w:p>
      <w:pPr>
        <w:pStyle w:val="Heading1"/>
        <w:keepNext/>
      </w:pPr>
      <w:r>
        <w:t>32. Arithmetic Asian control variate tutorial</w:t>
      </w:r>
    </w:p>
    <w:p>
      <w:pPr>
        <w:spacing w:after="120"/>
      </w:pPr>
      <w:r>
        <w:t>Arithmetic-average Asian options are controlled by geometric-average Asian options. Both payoffs use the same monitoring grid and option type, while the control expectation is supplied by the closed-form discrete geometric-Asian formula.</w:t>
      </w:r>
    </w:p>
    <w:p>
      <w:pPr>
        <w:pStyle w:val="Heading2"/>
        <w:keepNext/>
      </w:pPr>
      <w:r>
        <w:t>32.1 Discrete geometric-Asian analytical value</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m = float(M)</w:t>
              <w:br/>
              <w:t>average_time = T * (m + 1.0) / (2.0 * m)</w:t>
              <w:br/>
              <w:t>log_variance = sigma**2 * T * (m+1.0) * (2.0*m+1.0) / (6.0*m*m)</w:t>
              <w:br/>
              <w:t>log_mean = math.log(S0) + (r-y-0.5*sigma**2) * average_time</w:t>
              <w:br/>
              <w:t>std = math.sqrt(log_variance)</w:t>
              <w:br/>
              <w:t>d1 = (log_mean - math.log(K) + log_variance) / std</w:t>
              <w:br/>
              <w:t>d2 = d1 - std</w:t>
              <w:br/>
              <w:t>forward_mean = math.exp(-r*T + log_mean + 0.5*log_variance)</w:t>
              <w:br/>
              <w:t>discounted_strike = K * math.exp(-r*T)</w:t>
            </w:r>
          </w:p>
        </w:tc>
      </w:tr>
    </w:tbl>
    <w:p>
      <w:pPr>
        <w:spacing w:after="20"/>
      </w:pPr>
    </w:p>
    <w:p>
      <w:pPr>
        <w:pStyle w:val="Heading2"/>
        <w:keepNext/>
      </w:pPr>
      <w:r>
        <w:t>32.2 Controlled arithmetic-Asian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w:t>
              <w:br/>
              <w:t xml:space="preserve">  "exercise": "European",</w:t>
              <w:br/>
              <w:t xml:space="preserve">  "option_type": "Put",</w:t>
              <w:br/>
              <w:t xml:space="preserve">  "underlying": "PathArithmeticAsianOption",</w:t>
              <w:br/>
              <w:t xml:space="preserve">  "wrapper_order": "Underlying only",</w:t>
              <w:br/>
              <w:t xml:space="preserve">  "S0": 100.0, "K": 100.0, "r": 0.05,</w:t>
              <w:br/>
              <w:t xml:space="preserve">  "sigma": 0.20, "y": 0.0, "T": 1.0,</w:t>
              <w:br/>
              <w:t xml:space="preserve">  "M": 50, "N": 10000, "seed": 0,</w:t>
              <w:br/>
              <w:t xml:space="preserve">  "control_variate": true,</w:t>
              <w:br/>
              <w:t xml:space="preserve">  "control_underlying": "PathGeometricAsianOption",</w:t>
              <w:br/>
              <w:t xml:space="preserve">  "control_option_type": "Put",</w:t>
              <w:br/>
              <w:t xml:space="preserve">  "control_strike": 100.0,</w:t>
              <w:br/>
              <w:t xml:space="preserve">  "control_analytical_value": 4.43,</w:t>
              <w:br/>
              <w:t xml:space="preserve">  "control_calibration_paths": 2000</w:t>
              <w:br/>
              <w:t>}</w:t>
            </w:r>
          </w:p>
        </w:tc>
      </w:tr>
    </w:tbl>
    <w:p>
      <w:pPr>
        <w:spacing w:after="20"/>
      </w:pPr>
    </w:p>
    <w:p>
      <w:pPr>
        <w:pStyle w:val="ListBullet"/>
        <w:spacing w:after="40"/>
      </w:pPr>
      <w:r>
        <w:t>Run both Call and Put cases.</w:t>
      </w:r>
    </w:p>
    <w:p>
      <w:pPr>
        <w:pStyle w:val="ListBullet"/>
        <w:spacing w:after="40"/>
      </w:pPr>
      <w:r>
        <w:t>Compare controlled and plain prices using their combined Monte Carlo uncertainty.</w:t>
      </w:r>
    </w:p>
    <w:p>
      <w:pPr>
        <w:pStyle w:val="ListBullet"/>
        <w:spacing w:after="40"/>
      </w:pPr>
      <w:r>
        <w:t>Require the controlled standard error to be lower than the plain standard error.</w:t>
      </w:r>
    </w:p>
    <w:p>
      <w:pPr>
        <w:pStyle w:val="ListBullet"/>
        <w:spacing w:after="40"/>
      </w:pPr>
      <w:r>
        <w:t>Check config_echo.control_calibration_paths and control_pricing_paths.</w:t>
      </w:r>
    </w:p>
    <w:p>
      <w:pPr>
        <w:pStyle w:val="ListBullet"/>
        <w:spacing w:after="40"/>
      </w:pPr>
      <w:r>
        <w:t>Repeat the controlled call with the same seed and require exact equality of price, error and beta.</w:t>
      </w:r>
    </w:p>
    <w:p>
      <w:pPr>
        <w:pStyle w:val="Heading1"/>
        <w:keepNext/>
      </w:pPr>
      <w:r>
        <w:t>33. Advanced control-variate products</w:t>
      </w:r>
    </w:p>
    <w:p>
      <w:pPr>
        <w:spacing w:after="120"/>
      </w:pPr>
      <w:r>
        <w:t>The advanced benchmark shows that a plain vanilla option can also be used as a control for path-dependent targets, provided both objects expose compatible pathwise discounted payoffs. This chapter covers barrier and lookback targets in addition to the vanilla and Asian cases.</w:t>
      </w:r>
    </w:p>
    <w:p>
      <w:pPr>
        <w:pStyle w:val="Heading2"/>
        <w:keepNext/>
      </w:pPr>
      <w:r>
        <w:t>33.1 Barrier targets controlled by vanilla</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Barrier class</w:t>
            </w:r>
          </w:p>
        </w:tc>
        <w:tc>
          <w:tcPr>
            <w:tcW w:type="dxa" w:w="3389"/>
            <w:shd w:fill="1F4E78"/>
            <w:vAlign w:val="center"/>
            <w:tcMar>
              <w:top w:w="80" w:type="dxa"/>
              <w:start w:w="100" w:type="dxa"/>
              <w:bottom w:w="80" w:type="dxa"/>
              <w:end w:w="100" w:type="dxa"/>
            </w:tcMar>
          </w:tcPr>
          <w:p>
            <w:r>
              <w:rPr>
                <w:b/>
                <w:color w:val="FFFFFF"/>
                <w:sz w:val="16"/>
              </w:rPr>
              <w:t>Up barrier</w:t>
            </w:r>
          </w:p>
        </w:tc>
        <w:tc>
          <w:tcPr>
            <w:tcW w:type="dxa" w:w="3389"/>
            <w:shd w:fill="1F4E78"/>
            <w:vAlign w:val="center"/>
            <w:tcMar>
              <w:top w:w="80" w:type="dxa"/>
              <w:start w:w="100" w:type="dxa"/>
              <w:bottom w:w="80" w:type="dxa"/>
              <w:end w:w="100" w:type="dxa"/>
            </w:tcMar>
          </w:tcPr>
          <w:p>
            <w:r>
              <w:rPr>
                <w:b/>
                <w:color w:val="FFFFFF"/>
                <w:sz w:val="16"/>
              </w:rPr>
              <w:t>Down barrier</w:t>
            </w:r>
          </w:p>
        </w:tc>
      </w:tr>
      <w:tr>
        <w:trPr>
          <w:cantSplit/>
        </w:trPr>
        <w:tc>
          <w:tcPr>
            <w:tcW w:type="dxa" w:w="3389"/>
            <w:tcMar>
              <w:top w:w="80" w:type="dxa"/>
              <w:start w:w="100" w:type="dxa"/>
              <w:bottom w:w="80" w:type="dxa"/>
              <w:end w:w="100" w:type="dxa"/>
            </w:tcMar>
            <w:vAlign w:val="top"/>
          </w:tcPr>
          <w:p>
            <w:r>
              <w:rPr>
                <w:sz w:val="16"/>
              </w:rPr>
              <w:t>DownAndOutBarrier</w:t>
            </w:r>
          </w:p>
        </w:tc>
        <w:tc>
          <w:tcPr>
            <w:tcW w:type="dxa" w:w="3389"/>
            <w:tcMar>
              <w:top w:w="80" w:type="dxa"/>
              <w:start w:w="100" w:type="dxa"/>
              <w:bottom w:w="80" w:type="dxa"/>
              <w:end w:w="100" w:type="dxa"/>
            </w:tcMar>
            <w:vAlign w:val="top"/>
          </w:tcPr>
          <w:p>
            <w:r>
              <w:rPr>
                <w:sz w:val="16"/>
              </w:rPr>
              <w:t>1e12</w:t>
            </w:r>
          </w:p>
        </w:tc>
        <w:tc>
          <w:tcPr>
            <w:tcW w:type="dxa" w:w="3389"/>
            <w:tcMar>
              <w:top w:w="80" w:type="dxa"/>
              <w:start w:w="100" w:type="dxa"/>
              <w:bottom w:w="80" w:type="dxa"/>
              <w:end w:w="100" w:type="dxa"/>
            </w:tcMar>
            <w:vAlign w:val="top"/>
          </w:tcPr>
          <w:p>
            <w:r>
              <w:rPr>
                <w:sz w:val="16"/>
              </w:rPr>
              <w:t>80</w:t>
            </w:r>
          </w:p>
        </w:tc>
      </w:tr>
      <w:tr>
        <w:trPr>
          <w:cantSplit/>
        </w:trPr>
        <w:tc>
          <w:tcPr>
            <w:tcW w:type="dxa" w:w="3389"/>
            <w:tcMar>
              <w:top w:w="80" w:type="dxa"/>
              <w:start w:w="100" w:type="dxa"/>
              <w:bottom w:w="80" w:type="dxa"/>
              <w:end w:w="100" w:type="dxa"/>
            </w:tcMar>
            <w:vAlign w:val="top"/>
          </w:tcPr>
          <w:p>
            <w:r>
              <w:rPr>
                <w:sz w:val="16"/>
              </w:rPr>
              <w:t>DownAndInBarrier</w:t>
            </w:r>
          </w:p>
        </w:tc>
        <w:tc>
          <w:tcPr>
            <w:tcW w:type="dxa" w:w="3389"/>
            <w:tcMar>
              <w:top w:w="80" w:type="dxa"/>
              <w:start w:w="100" w:type="dxa"/>
              <w:bottom w:w="80" w:type="dxa"/>
              <w:end w:w="100" w:type="dxa"/>
            </w:tcMar>
            <w:vAlign w:val="top"/>
          </w:tcPr>
          <w:p>
            <w:r>
              <w:rPr>
                <w:sz w:val="16"/>
              </w:rPr>
              <w:t>1e12</w:t>
            </w:r>
          </w:p>
        </w:tc>
        <w:tc>
          <w:tcPr>
            <w:tcW w:type="dxa" w:w="3389"/>
            <w:tcMar>
              <w:top w:w="80" w:type="dxa"/>
              <w:start w:w="100" w:type="dxa"/>
              <w:bottom w:w="80" w:type="dxa"/>
              <w:end w:w="100" w:type="dxa"/>
            </w:tcMar>
            <w:vAlign w:val="top"/>
          </w:tcPr>
          <w:p>
            <w:r>
              <w:rPr>
                <w:sz w:val="16"/>
              </w:rPr>
              <w:t>80</w:t>
            </w:r>
          </w:p>
        </w:tc>
      </w:tr>
      <w:tr>
        <w:trPr>
          <w:cantSplit/>
        </w:trPr>
        <w:tc>
          <w:tcPr>
            <w:tcW w:type="dxa" w:w="3389"/>
            <w:tcMar>
              <w:top w:w="80" w:type="dxa"/>
              <w:start w:w="100" w:type="dxa"/>
              <w:bottom w:w="80" w:type="dxa"/>
              <w:end w:w="100" w:type="dxa"/>
            </w:tcMar>
            <w:vAlign w:val="top"/>
          </w:tcPr>
          <w:p>
            <w:r>
              <w:rPr>
                <w:sz w:val="16"/>
              </w:rPr>
              <w:t>UpAndOutBarrier</w:t>
            </w:r>
          </w:p>
        </w:tc>
        <w:tc>
          <w:tcPr>
            <w:tcW w:type="dxa" w:w="3389"/>
            <w:tcMar>
              <w:top w:w="80" w:type="dxa"/>
              <w:start w:w="100" w:type="dxa"/>
              <w:bottom w:w="80" w:type="dxa"/>
              <w:end w:w="100" w:type="dxa"/>
            </w:tcMar>
            <w:vAlign w:val="top"/>
          </w:tcPr>
          <w:p>
            <w:r>
              <w:rPr>
                <w:sz w:val="16"/>
              </w:rPr>
              <w:t>120</w:t>
            </w:r>
          </w:p>
        </w:tc>
        <w:tc>
          <w:tcPr>
            <w:tcW w:type="dxa" w:w="3389"/>
            <w:tcMar>
              <w:top w:w="80" w:type="dxa"/>
              <w:start w:w="100" w:type="dxa"/>
              <w:bottom w:w="80" w:type="dxa"/>
              <w:end w:w="100" w:type="dxa"/>
            </w:tcMar>
            <w:vAlign w:val="top"/>
          </w:tcPr>
          <w:p>
            <w:r>
              <w:rPr>
                <w:sz w:val="16"/>
              </w:rPr>
              <w:t>0</w:t>
            </w:r>
          </w:p>
        </w:tc>
      </w:tr>
      <w:tr>
        <w:trPr>
          <w:cantSplit/>
        </w:trPr>
        <w:tc>
          <w:tcPr>
            <w:tcW w:type="dxa" w:w="3389"/>
            <w:tcMar>
              <w:top w:w="80" w:type="dxa"/>
              <w:start w:w="100" w:type="dxa"/>
              <w:bottom w:w="80" w:type="dxa"/>
              <w:end w:w="100" w:type="dxa"/>
            </w:tcMar>
            <w:vAlign w:val="top"/>
          </w:tcPr>
          <w:p>
            <w:r>
              <w:rPr>
                <w:sz w:val="16"/>
              </w:rPr>
              <w:t>UpAndInBarrier</w:t>
            </w:r>
          </w:p>
        </w:tc>
        <w:tc>
          <w:tcPr>
            <w:tcW w:type="dxa" w:w="3389"/>
            <w:tcMar>
              <w:top w:w="80" w:type="dxa"/>
              <w:start w:w="100" w:type="dxa"/>
              <w:bottom w:w="80" w:type="dxa"/>
              <w:end w:w="100" w:type="dxa"/>
            </w:tcMar>
            <w:vAlign w:val="top"/>
          </w:tcPr>
          <w:p>
            <w:r>
              <w:rPr>
                <w:sz w:val="16"/>
              </w:rPr>
              <w:t>120</w:t>
            </w:r>
          </w:p>
        </w:tc>
        <w:tc>
          <w:tcPr>
            <w:tcW w:type="dxa" w:w="3389"/>
            <w:tcMar>
              <w:top w:w="80" w:type="dxa"/>
              <w:start w:w="100" w:type="dxa"/>
              <w:bottom w:w="80" w:type="dxa"/>
              <w:end w:w="100" w:type="dxa"/>
            </w:tcMar>
            <w:vAlign w:val="top"/>
          </w:tcPr>
          <w:p>
            <w:r>
              <w:rPr>
                <w:sz w:val="16"/>
              </w:rPr>
              <w:t>0</w:t>
            </w:r>
          </w:p>
        </w:tc>
      </w:tr>
      <w:tr>
        <w:trPr>
          <w:cantSplit/>
        </w:trPr>
        <w:tc>
          <w:tcPr>
            <w:tcW w:type="dxa" w:w="3389"/>
            <w:tcMar>
              <w:top w:w="80" w:type="dxa"/>
              <w:start w:w="100" w:type="dxa"/>
              <w:bottom w:w="80" w:type="dxa"/>
              <w:end w:w="100" w:type="dxa"/>
            </w:tcMar>
            <w:vAlign w:val="top"/>
          </w:tcPr>
          <w:p>
            <w:r>
              <w:rPr>
                <w:sz w:val="16"/>
              </w:rPr>
              <w:t>DoubleKnockOutBarrier</w:t>
            </w:r>
          </w:p>
        </w:tc>
        <w:tc>
          <w:tcPr>
            <w:tcW w:type="dxa" w:w="3389"/>
            <w:tcMar>
              <w:top w:w="80" w:type="dxa"/>
              <w:start w:w="100" w:type="dxa"/>
              <w:bottom w:w="80" w:type="dxa"/>
              <w:end w:w="100" w:type="dxa"/>
            </w:tcMar>
            <w:vAlign w:val="top"/>
          </w:tcPr>
          <w:p>
            <w:r>
              <w:rPr>
                <w:sz w:val="16"/>
              </w:rPr>
              <w:t>120</w:t>
            </w:r>
          </w:p>
        </w:tc>
        <w:tc>
          <w:tcPr>
            <w:tcW w:type="dxa" w:w="3389"/>
            <w:tcMar>
              <w:top w:w="80" w:type="dxa"/>
              <w:start w:w="100" w:type="dxa"/>
              <w:bottom w:w="80" w:type="dxa"/>
              <w:end w:w="100" w:type="dxa"/>
            </w:tcMar>
            <w:vAlign w:val="top"/>
          </w:tcPr>
          <w:p>
            <w:r>
              <w:rPr>
                <w:sz w:val="16"/>
              </w:rPr>
              <w:t>80</w:t>
            </w:r>
          </w:p>
        </w:tc>
      </w:tr>
    </w:tbl>
    <w:p>
      <w:pPr>
        <w:spacing w:after="40"/>
      </w:pP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w:t>
              <w:br/>
              <w:t xml:space="preserve">  "exercise": "European",</w:t>
              <w:br/>
              <w:t xml:space="preserve">  "option_type": "Call",</w:t>
              <w:br/>
              <w:t xml:space="preserve">  "underlying": "PathIndependentOption",</w:t>
              <w:br/>
              <w:t xml:space="preserve">  "wrapper_order": "Barrier on underlying",</w:t>
              <w:br/>
              <w:t xml:space="preserve">  "barrier": "DownAndOutBarrier",</w:t>
              <w:br/>
              <w:t xml:space="preserve">  "up_barrier": 1.0e12,</w:t>
              <w:br/>
              <w:t xml:space="preserve">  "down_barrier": 80.0,</w:t>
              <w:br/>
              <w:t xml:space="preserve">  "rebate_in": 0.0,</w:t>
              <w:br/>
              <w:t xml:space="preserve">  "rebate_out": 0.0,</w:t>
              <w:br/>
              <w:t xml:space="preserve">  "control_variate": true,</w:t>
              <w:br/>
              <w:t xml:space="preserve">  "control_underlying": "PathIndependentOption",</w:t>
              <w:br/>
              <w:t xml:space="preserve">  "control_option_type": "Call",</w:t>
              <w:br/>
              <w:t xml:space="preserve">  "control_strike": 100.0,</w:t>
              <w:br/>
              <w:t xml:space="preserve">  "control_analytical_value": 10.450584,</w:t>
              <w:br/>
              <w:t xml:space="preserve">  "control_calibration_paths": 2000,</w:t>
              <w:br/>
              <w:t xml:space="preserve">  "S0": 100.0, "K": 100.0, "r": 0.05,</w:t>
              <w:br/>
              <w:t xml:space="preserve">  "sigma": 0.20, "y": 0.0, "T": 1.0,</w:t>
              <w:br/>
              <w:t xml:space="preserve">  "M": 50, "N": 10000, "seed": 0</w:t>
              <w:br/>
              <w:t>}</w:t>
            </w:r>
          </w:p>
        </w:tc>
      </w:tr>
    </w:tbl>
    <w:p>
      <w:pPr>
        <w:spacing w:after="20"/>
      </w:pPr>
    </w:p>
    <w:p>
      <w:pPr>
        <w:pStyle w:val="Heading2"/>
        <w:keepNext/>
      </w:pPr>
      <w:r>
        <w:t>33.2 Lookback targets controlled by vanilla</w:t>
      </w:r>
    </w:p>
    <w:tbl>
      <w:tblPr>
        <w:tblStyle w:val="TableGrid"/>
        <w:tblW w:type="auto" w:w="0"/>
        <w:jc w:val="center"/>
        <w:tblLook w:firstColumn="1" w:firstRow="1" w:lastColumn="0" w:lastRow="0" w:noHBand="0" w:noVBand="1" w:val="04A0"/>
      </w:tblPr>
      <w:tblGrid>
        <w:gridCol w:w="5083"/>
        <w:gridCol w:w="5083"/>
      </w:tblGrid>
      <w:tr>
        <w:tc>
          <w:tcPr>
            <w:tcW w:type="dxa" w:w="5083"/>
            <w:shd w:fill="1F4E78"/>
            <w:vAlign w:val="center"/>
            <w:tcMar>
              <w:top w:w="80" w:type="dxa"/>
              <w:start w:w="100" w:type="dxa"/>
              <w:bottom w:w="80" w:type="dxa"/>
              <w:end w:w="100" w:type="dxa"/>
            </w:tcMar>
          </w:tcPr>
          <w:p>
            <w:r>
              <w:rPr>
                <w:b/>
                <w:color w:val="FFFFFF"/>
                <w:sz w:val="16"/>
              </w:rPr>
              <w:t>Lookback class</w:t>
            </w:r>
          </w:p>
        </w:tc>
        <w:tc>
          <w:tcPr>
            <w:tcW w:type="dxa" w:w="5083"/>
            <w:shd w:fill="1F4E78"/>
            <w:vAlign w:val="center"/>
            <w:tcMar>
              <w:top w:w="80" w:type="dxa"/>
              <w:start w:w="100" w:type="dxa"/>
              <w:bottom w:w="80" w:type="dxa"/>
              <w:end w:w="100" w:type="dxa"/>
            </w:tcMar>
          </w:tcPr>
          <w:p>
            <w:r>
              <w:rPr>
                <w:b/>
                <w:color w:val="FFFFFF"/>
                <w:sz w:val="16"/>
              </w:rPr>
              <w:t>Payoffs tested</w:t>
            </w:r>
          </w:p>
        </w:tc>
      </w:tr>
      <w:tr>
        <w:trPr>
          <w:cantSplit/>
        </w:trPr>
        <w:tc>
          <w:tcPr>
            <w:tcW w:type="dxa" w:w="5083"/>
            <w:tcMar>
              <w:top w:w="80" w:type="dxa"/>
              <w:start w:w="100" w:type="dxa"/>
              <w:bottom w:w="80" w:type="dxa"/>
              <w:end w:w="100" w:type="dxa"/>
            </w:tcMar>
            <w:vAlign w:val="top"/>
          </w:tcPr>
          <w:p>
            <w:r>
              <w:rPr>
                <w:sz w:val="16"/>
              </w:rPr>
              <w:t>LookbacksFixedStrike</w:t>
            </w:r>
          </w:p>
        </w:tc>
        <w:tc>
          <w:tcPr>
            <w:tcW w:type="dxa" w:w="5083"/>
            <w:tcMar>
              <w:top w:w="80" w:type="dxa"/>
              <w:start w:w="100" w:type="dxa"/>
              <w:bottom w:w="80" w:type="dxa"/>
              <w:end w:w="100" w:type="dxa"/>
            </w:tcMar>
            <w:vAlign w:val="top"/>
          </w:tcPr>
          <w:p>
            <w:r>
              <w:rPr>
                <w:sz w:val="16"/>
              </w:rPr>
              <w:t>Call and Put</w:t>
            </w:r>
          </w:p>
        </w:tc>
      </w:tr>
      <w:tr>
        <w:trPr>
          <w:cantSplit/>
        </w:trPr>
        <w:tc>
          <w:tcPr>
            <w:tcW w:type="dxa" w:w="5083"/>
            <w:tcMar>
              <w:top w:w="80" w:type="dxa"/>
              <w:start w:w="100" w:type="dxa"/>
              <w:bottom w:w="80" w:type="dxa"/>
              <w:end w:w="100" w:type="dxa"/>
            </w:tcMar>
            <w:vAlign w:val="top"/>
          </w:tcPr>
          <w:p>
            <w:r>
              <w:rPr>
                <w:sz w:val="16"/>
              </w:rPr>
              <w:t>LookbacksFloatingStrike</w:t>
            </w:r>
          </w:p>
        </w:tc>
        <w:tc>
          <w:tcPr>
            <w:tcW w:type="dxa" w:w="5083"/>
            <w:tcMar>
              <w:top w:w="80" w:type="dxa"/>
              <w:start w:w="100" w:type="dxa"/>
              <w:bottom w:w="80" w:type="dxa"/>
              <w:end w:w="100" w:type="dxa"/>
            </w:tcMar>
            <w:vAlign w:val="top"/>
          </w:tcPr>
          <w:p>
            <w:r>
              <w:rPr>
                <w:sz w:val="16"/>
              </w:rPr>
              <w:t>Call and Put</w:t>
            </w:r>
          </w:p>
        </w:tc>
      </w:tr>
    </w:tbl>
    <w:p>
      <w:pPr>
        <w:spacing w:after="40"/>
      </w:pPr>
    </w:p>
    <w:p>
      <w:pPr>
        <w:spacing w:after="120"/>
      </w:pPr>
      <w:r>
        <w:t>Use wrapper_order="Lookback on underlying", select the lookback class, and retain the vanilla control parameters. The benchmark requires a finite adjusted estimate and a non-null beta; for strongly correlated cases the controlled error should be lower. Exact same-seed reproducibility is checked on an advanced barrier-control case.</w:t>
      </w: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Control quality: </w:t>
            </w:r>
            <w:r>
              <w:t>A mathematically valid control can still be ineffective if correlation is weak. Inspect control_variate_correlation and the before/after standard errors rather than assuming every control helps.</w:t>
            </w:r>
          </w:p>
        </w:tc>
      </w:tr>
    </w:tbl>
    <w:p>
      <w:pPr>
        <w:spacing w:after="20"/>
      </w:pPr>
    </w:p>
    <w:p>
      <w:pPr>
        <w:pStyle w:val="Heading1"/>
        <w:keepNext/>
      </w:pPr>
      <w:r>
        <w:t>34. Random generators, samplers and Wiener processes</w:t>
      </w:r>
    </w:p>
    <w:p>
      <w:pPr>
        <w:spacing w:after="120"/>
      </w:pPr>
      <w:r>
        <w:t>The sampler benchmark exercises the full 2 x 3 x 4 public configuration grid: two random generators, three sampling schemes and four Wiener-process constructions. Each combination must preserve the option value while reporting the correct replication convention.</w:t>
      </w:r>
    </w:p>
    <w:tbl>
      <w:tblPr>
        <w:tblStyle w:val="TableGrid"/>
        <w:tblW w:type="auto" w:w="0"/>
        <w:jc w:val="center"/>
        <w:tblLook w:firstColumn="1" w:firstRow="1" w:lastColumn="0" w:lastRow="0" w:noHBand="0" w:noVBand="1" w:val="04A0"/>
      </w:tblPr>
      <w:tblGrid>
        <w:gridCol w:w="5083"/>
        <w:gridCol w:w="5083"/>
      </w:tblGrid>
      <w:tr>
        <w:tc>
          <w:tcPr>
            <w:tcW w:type="dxa" w:w="5083"/>
            <w:shd w:fill="1F4E78"/>
            <w:vAlign w:val="center"/>
            <w:tcMar>
              <w:top w:w="80" w:type="dxa"/>
              <w:start w:w="100" w:type="dxa"/>
              <w:bottom w:w="80" w:type="dxa"/>
              <w:end w:w="100" w:type="dxa"/>
            </w:tcMar>
          </w:tcPr>
          <w:p>
            <w:r>
              <w:rPr>
                <w:b/>
                <w:color w:val="FFFFFF"/>
                <w:sz w:val="16"/>
              </w:rPr>
              <w:t>Category</w:t>
            </w:r>
          </w:p>
        </w:tc>
        <w:tc>
          <w:tcPr>
            <w:tcW w:type="dxa" w:w="5083"/>
            <w:shd w:fill="1F4E78"/>
            <w:vAlign w:val="center"/>
            <w:tcMar>
              <w:top w:w="80" w:type="dxa"/>
              <w:start w:w="100" w:type="dxa"/>
              <w:bottom w:w="80" w:type="dxa"/>
              <w:end w:w="100" w:type="dxa"/>
            </w:tcMar>
          </w:tcPr>
          <w:p>
            <w:r>
              <w:rPr>
                <w:b/>
                <w:color w:val="FFFFFF"/>
                <w:sz w:val="16"/>
              </w:rPr>
              <w:t>Allowed values</w:t>
            </w:r>
          </w:p>
        </w:tc>
      </w:tr>
      <w:tr>
        <w:trPr>
          <w:cantSplit/>
        </w:trPr>
        <w:tc>
          <w:tcPr>
            <w:tcW w:type="dxa" w:w="5083"/>
            <w:tcMar>
              <w:top w:w="80" w:type="dxa"/>
              <w:start w:w="100" w:type="dxa"/>
              <w:bottom w:w="80" w:type="dxa"/>
              <w:end w:w="100" w:type="dxa"/>
            </w:tcMar>
            <w:vAlign w:val="top"/>
          </w:tcPr>
          <w:p>
            <w:r>
              <w:rPr>
                <w:sz w:val="16"/>
              </w:rPr>
              <w:t>random_generator</w:t>
            </w:r>
          </w:p>
        </w:tc>
        <w:tc>
          <w:tcPr>
            <w:tcW w:type="dxa" w:w="5083"/>
            <w:tcMar>
              <w:top w:w="80" w:type="dxa"/>
              <w:start w:w="100" w:type="dxa"/>
              <w:bottom w:w="80" w:type="dxa"/>
              <w:end w:w="100" w:type="dxa"/>
            </w:tcMar>
            <w:vAlign w:val="top"/>
          </w:tcPr>
          <w:p>
            <w:r>
              <w:rPr>
                <w:sz w:val="16"/>
              </w:rPr>
              <w:t>Standard; Quasi</w:t>
            </w:r>
          </w:p>
        </w:tc>
      </w:tr>
      <w:tr>
        <w:trPr>
          <w:cantSplit/>
        </w:trPr>
        <w:tc>
          <w:tcPr>
            <w:tcW w:type="dxa" w:w="5083"/>
            <w:tcMar>
              <w:top w:w="80" w:type="dxa"/>
              <w:start w:w="100" w:type="dxa"/>
              <w:bottom w:w="80" w:type="dxa"/>
              <w:end w:w="100" w:type="dxa"/>
            </w:tcMar>
            <w:vAlign w:val="top"/>
          </w:tcPr>
          <w:p>
            <w:r>
              <w:rPr>
                <w:sz w:val="16"/>
              </w:rPr>
              <w:t>sampling</w:t>
            </w:r>
          </w:p>
        </w:tc>
        <w:tc>
          <w:tcPr>
            <w:tcW w:type="dxa" w:w="5083"/>
            <w:tcMar>
              <w:top w:w="80" w:type="dxa"/>
              <w:start w:w="100" w:type="dxa"/>
              <w:bottom w:w="80" w:type="dxa"/>
              <w:end w:w="100" w:type="dxa"/>
            </w:tcMar>
            <w:vAlign w:val="top"/>
          </w:tcPr>
          <w:p>
            <w:r>
              <w:rPr>
                <w:sz w:val="16"/>
              </w:rPr>
              <w:t>None; LatinHypercube; Stratification</w:t>
            </w:r>
          </w:p>
        </w:tc>
      </w:tr>
      <w:tr>
        <w:trPr>
          <w:cantSplit/>
        </w:trPr>
        <w:tc>
          <w:tcPr>
            <w:tcW w:type="dxa" w:w="5083"/>
            <w:tcMar>
              <w:top w:w="80" w:type="dxa"/>
              <w:start w:w="100" w:type="dxa"/>
              <w:bottom w:w="80" w:type="dxa"/>
              <w:end w:w="100" w:type="dxa"/>
            </w:tcMar>
            <w:vAlign w:val="top"/>
          </w:tcPr>
          <w:p>
            <w:r>
              <w:rPr>
                <w:sz w:val="16"/>
              </w:rPr>
              <w:t>wiener</w:t>
            </w:r>
          </w:p>
        </w:tc>
        <w:tc>
          <w:tcPr>
            <w:tcW w:type="dxa" w:w="5083"/>
            <w:tcMar>
              <w:top w:w="80" w:type="dxa"/>
              <w:start w:w="100" w:type="dxa"/>
              <w:bottom w:w="80" w:type="dxa"/>
              <w:end w:w="100" w:type="dxa"/>
            </w:tcMar>
            <w:vAlign w:val="top"/>
          </w:tcPr>
          <w:p>
            <w:r>
              <w:rPr>
                <w:sz w:val="16"/>
              </w:rPr>
              <w:t>Vanilla; Antithetic; MomentMatching; BrownianBridge</w:t>
            </w:r>
          </w:p>
        </w:tc>
      </w:tr>
    </w:tbl>
    <w:p>
      <w:pPr>
        <w:spacing w:after="40"/>
      </w:pPr>
    </w:p>
    <w:p>
      <w:pPr>
        <w:pStyle w:val="Heading2"/>
        <w:keepNext/>
      </w:pPr>
      <w:r>
        <w:t>34.1 Complete 24-combination sweep</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for rng in ("Standard", "Quasi"):</w:t>
              <w:br/>
              <w:t xml:space="preserve">    for sampler in ("None", "LatinHypercube", "Stratification"):</w:t>
              <w:br/>
              <w:t xml:space="preserve">        for wiener in ("Vanilla", "Antithetic", "MomentMatching", "BrownianBridge"):</w:t>
              <w:br/>
              <w:t xml:space="preserve">            result = price(</w:t>
              <w:br/>
              <w:t xml:space="preserve">                "European", "Call",</w:t>
              <w:br/>
              <w:t xml:space="preserve">                random_generator=rng,</w:t>
              <w:br/>
              <w:t xml:space="preserve">                sampling=sampler,</w:t>
              <w:br/>
              <w:t xml:space="preserve">                wiener=wiener,</w:t>
              <w:br/>
              <w:t xml:space="preserve">                num_repetitions=12,</w:t>
              <w:br/>
              <w:t xml:space="preserve">                S0=100, K=100, r=0.05, sigma=0.20,</w:t>
              <w:br/>
              <w:t xml:space="preserve">                y=0, T=1, M=50, N=20000, seed=0</w:t>
              <w:br/>
              <w:t xml:space="preserve">            )</w:t>
            </w:r>
          </w:p>
        </w:tc>
      </w:tr>
    </w:tbl>
    <w:p>
      <w:pPr>
        <w:spacing w:after="20"/>
      </w:pPr>
    </w:p>
    <w:p>
      <w:pPr>
        <w:spacing w:after="120"/>
      </w:pPr>
      <w:r>
        <w:t>Quasi random numbers, nontrivial samplers and non-vanilla Wiener generators require num_repetitions &gt;= 2. The API returns the mean of replication prices and uses the replication standard deviation divided by sqrt(R) as std_error. Standard + None + Vanilla is a single-run configuration; the benchmark emulates repeated estimates by changing the seed externally.</w:t>
      </w:r>
    </w:p>
    <w:p>
      <w:pPr>
        <w:pStyle w:val="Heading2"/>
        <w:keepNext/>
      </w:pPr>
      <w:r>
        <w:t>34.2 Configuration checks</w:t>
      </w:r>
    </w:p>
    <w:p>
      <w:pPr>
        <w:pStyle w:val="ListBullet"/>
        <w:spacing w:after="40"/>
      </w:pPr>
      <w:r>
        <w:t>config_echo.random_generator, sampling and wiener must identify the selected classes.</w:t>
      </w:r>
    </w:p>
    <w:p>
      <w:pPr>
        <w:pStyle w:val="ListBullet"/>
        <w:spacing w:after="40"/>
      </w:pPr>
      <w:r>
        <w:t>config_echo.requires_repetitions must be true for Quasi, Latin Hypercube, Stratification, Antithetic, Moment Matching and Brownian Bridge.</w:t>
      </w:r>
    </w:p>
    <w:p>
      <w:pPr>
        <w:pStyle w:val="ListBullet"/>
        <w:spacing w:after="40"/>
      </w:pPr>
      <w:r>
        <w:t>config_echo.replication_prices must contain exactly num_repetitions finite values.</w:t>
      </w:r>
    </w:p>
    <w:p>
      <w:pPr>
        <w:pStyle w:val="ListBullet"/>
        <w:spacing w:after="40"/>
      </w:pPr>
      <w:r>
        <w:t>The average estimate must agree with the Black-Scholes call within a tolerance based on the empirical replication standard error.</w:t>
      </w:r>
    </w:p>
    <w:p>
      <w:pPr>
        <w:pStyle w:val="ListBullet"/>
        <w:spacing w:after="40"/>
      </w:pPr>
      <w:r>
        <w:t>Standard + None + Vanilla with the same seed must be exactly reproducible.</w:t>
      </w:r>
    </w:p>
    <w:p>
      <w:pPr>
        <w:pStyle w:val="ListBullet"/>
        <w:spacing w:after="40"/>
      </w:pPr>
      <w:r>
        <w:t>Antithetic generation requires an even N.</w:t>
      </w:r>
    </w:p>
    <w:p>
      <w:pPr>
        <w:pStyle w:val="Heading1"/>
        <w:keepNext/>
      </w:pPr>
      <w:r>
        <w:t>35. American arithmetic and geometric Asian options</w:t>
      </w:r>
    </w:p>
    <w:p>
      <w:pPr>
        <w:spacing w:after="120"/>
      </w:pPr>
      <w:r>
        <w:t>The American-Asian benchmark prices arithmetic- and geometric-average calls using Longstaff-Schwartz exercise. It compares the American values with reference estimates and confirms that the American value is not materially below the corresponding European value.</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shd w:fill="1F4E78"/>
            <w:vAlign w:val="center"/>
            <w:tcMar>
              <w:top w:w="80" w:type="dxa"/>
              <w:start w:w="100" w:type="dxa"/>
              <w:bottom w:w="80" w:type="dxa"/>
              <w:end w:w="100" w:type="dxa"/>
            </w:tcMar>
          </w:tcPr>
          <w:p>
            <w:r>
              <w:rPr>
                <w:b/>
                <w:color w:val="FFFFFF"/>
                <w:sz w:val="16"/>
              </w:rPr>
              <w:t>Case</w:t>
            </w:r>
          </w:p>
        </w:tc>
        <w:tc>
          <w:tcPr>
            <w:tcW w:type="dxa" w:w="2541"/>
            <w:shd w:fill="1F4E78"/>
            <w:vAlign w:val="center"/>
            <w:tcMar>
              <w:top w:w="80" w:type="dxa"/>
              <w:start w:w="100" w:type="dxa"/>
              <w:bottom w:w="80" w:type="dxa"/>
              <w:end w:w="100" w:type="dxa"/>
            </w:tcMar>
          </w:tcPr>
          <w:p>
            <w:r>
              <w:rPr>
                <w:b/>
                <w:color w:val="FFFFFF"/>
                <w:sz w:val="16"/>
              </w:rPr>
              <w:t>Underlying</w:t>
            </w:r>
          </w:p>
        </w:tc>
        <w:tc>
          <w:tcPr>
            <w:tcW w:type="dxa" w:w="2541"/>
            <w:shd w:fill="1F4E78"/>
            <w:vAlign w:val="center"/>
            <w:tcMar>
              <w:top w:w="80" w:type="dxa"/>
              <w:start w:w="100" w:type="dxa"/>
              <w:bottom w:w="80" w:type="dxa"/>
              <w:end w:w="100" w:type="dxa"/>
            </w:tcMar>
          </w:tcPr>
          <w:p>
            <w:r>
              <w:rPr>
                <w:b/>
                <w:color w:val="FFFFFF"/>
                <w:sz w:val="16"/>
              </w:rPr>
              <w:t>Reference value</w:t>
            </w:r>
          </w:p>
        </w:tc>
        <w:tc>
          <w:tcPr>
            <w:tcW w:type="dxa" w:w="2541"/>
            <w:shd w:fill="1F4E78"/>
            <w:vAlign w:val="center"/>
            <w:tcMar>
              <w:top w:w="80" w:type="dxa"/>
              <w:start w:w="100" w:type="dxa"/>
              <w:bottom w:w="80" w:type="dxa"/>
              <w:end w:w="100" w:type="dxa"/>
            </w:tcMar>
          </w:tcPr>
          <w:p>
            <w:r>
              <w:rPr>
                <w:b/>
                <w:color w:val="FFFFFF"/>
                <w:sz w:val="16"/>
              </w:rPr>
              <w:t>Reference SE</w:t>
            </w:r>
          </w:p>
        </w:tc>
      </w:tr>
      <w:tr>
        <w:trPr>
          <w:cantSplit/>
        </w:trPr>
        <w:tc>
          <w:tcPr>
            <w:tcW w:type="dxa" w:w="2541"/>
            <w:tcMar>
              <w:top w:w="80" w:type="dxa"/>
              <w:start w:w="100" w:type="dxa"/>
              <w:bottom w:w="80" w:type="dxa"/>
              <w:end w:w="100" w:type="dxa"/>
            </w:tcMar>
            <w:vAlign w:val="top"/>
          </w:tcPr>
          <w:p>
            <w:r>
              <w:rPr>
                <w:sz w:val="16"/>
              </w:rPr>
              <w:t>Arithmetic</w:t>
            </w:r>
          </w:p>
        </w:tc>
        <w:tc>
          <w:tcPr>
            <w:tcW w:type="dxa" w:w="2541"/>
            <w:tcMar>
              <w:top w:w="80" w:type="dxa"/>
              <w:start w:w="100" w:type="dxa"/>
              <w:bottom w:w="80" w:type="dxa"/>
              <w:end w:w="100" w:type="dxa"/>
            </w:tcMar>
            <w:vAlign w:val="top"/>
          </w:tcPr>
          <w:p>
            <w:r>
              <w:rPr>
                <w:sz w:val="16"/>
              </w:rPr>
              <w:t>PathArithmeticAsianOption</w:t>
            </w:r>
          </w:p>
        </w:tc>
        <w:tc>
          <w:tcPr>
            <w:tcW w:type="dxa" w:w="2541"/>
            <w:tcMar>
              <w:top w:w="80" w:type="dxa"/>
              <w:start w:w="100" w:type="dxa"/>
              <w:bottom w:w="80" w:type="dxa"/>
              <w:end w:w="100" w:type="dxa"/>
            </w:tcMar>
            <w:vAlign w:val="top"/>
          </w:tcPr>
          <w:p>
            <w:r>
              <w:rPr>
                <w:sz w:val="16"/>
              </w:rPr>
              <w:t>0.9992</w:t>
            </w:r>
          </w:p>
        </w:tc>
        <w:tc>
          <w:tcPr>
            <w:tcW w:type="dxa" w:w="2541"/>
            <w:tcMar>
              <w:top w:w="80" w:type="dxa"/>
              <w:start w:w="100" w:type="dxa"/>
              <w:bottom w:w="80" w:type="dxa"/>
              <w:end w:w="100" w:type="dxa"/>
            </w:tcMar>
            <w:vAlign w:val="top"/>
          </w:tcPr>
          <w:p>
            <w:r>
              <w:rPr>
                <w:sz w:val="16"/>
              </w:rPr>
              <w:t>0.0072</w:t>
            </w:r>
          </w:p>
        </w:tc>
      </w:tr>
      <w:tr>
        <w:trPr>
          <w:cantSplit/>
        </w:trPr>
        <w:tc>
          <w:tcPr>
            <w:tcW w:type="dxa" w:w="2541"/>
            <w:tcMar>
              <w:top w:w="80" w:type="dxa"/>
              <w:start w:w="100" w:type="dxa"/>
              <w:bottom w:w="80" w:type="dxa"/>
              <w:end w:w="100" w:type="dxa"/>
            </w:tcMar>
            <w:vAlign w:val="top"/>
          </w:tcPr>
          <w:p>
            <w:r>
              <w:rPr>
                <w:sz w:val="16"/>
              </w:rPr>
              <w:t>Geometric</w:t>
            </w:r>
          </w:p>
        </w:tc>
        <w:tc>
          <w:tcPr>
            <w:tcW w:type="dxa" w:w="2541"/>
            <w:tcMar>
              <w:top w:w="80" w:type="dxa"/>
              <w:start w:w="100" w:type="dxa"/>
              <w:bottom w:w="80" w:type="dxa"/>
              <w:end w:w="100" w:type="dxa"/>
            </w:tcMar>
            <w:vAlign w:val="top"/>
          </w:tcPr>
          <w:p>
            <w:r>
              <w:rPr>
                <w:sz w:val="16"/>
              </w:rPr>
              <w:t>PathGeometricAsianOption</w:t>
            </w:r>
          </w:p>
        </w:tc>
        <w:tc>
          <w:tcPr>
            <w:tcW w:type="dxa" w:w="2541"/>
            <w:tcMar>
              <w:top w:w="80" w:type="dxa"/>
              <w:start w:w="100" w:type="dxa"/>
              <w:bottom w:w="80" w:type="dxa"/>
              <w:end w:w="100" w:type="dxa"/>
            </w:tcMar>
            <w:vAlign w:val="top"/>
          </w:tcPr>
          <w:p>
            <w:r>
              <w:rPr>
                <w:sz w:val="16"/>
              </w:rPr>
              <w:t>0.9631</w:t>
            </w:r>
          </w:p>
        </w:tc>
        <w:tc>
          <w:tcPr>
            <w:tcW w:type="dxa" w:w="2541"/>
            <w:tcMar>
              <w:top w:w="80" w:type="dxa"/>
              <w:start w:w="100" w:type="dxa"/>
              <w:bottom w:w="80" w:type="dxa"/>
              <w:end w:w="100" w:type="dxa"/>
            </w:tcMar>
            <w:vAlign w:val="top"/>
          </w:tcPr>
          <w:p>
            <w:r>
              <w:rPr>
                <w:sz w:val="16"/>
              </w:rPr>
              <w:t>0.0070</w:t>
            </w:r>
          </w:p>
        </w:tc>
      </w:tr>
    </w:tbl>
    <w:p>
      <w:pPr>
        <w:spacing w:after="40"/>
      </w:pPr>
    </w:p>
    <w:p>
      <w:pPr>
        <w:pStyle w:val="Heading2"/>
        <w:keepNext/>
      </w:pPr>
      <w:r>
        <w:t>35.1 American Asian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w:t>
              <w:br/>
              <w:t xml:space="preserve">  "exercise": "AmericanOption",</w:t>
              <w:br/>
              <w:t xml:space="preserve">  "option_type": "Call",</w:t>
              <w:br/>
              <w:t xml:space="preserve">  "underlying": "PathArithmeticAsianOption",</w:t>
              <w:br/>
              <w:t xml:space="preserve">  "wrapper_order": "Underlying only",</w:t>
              <w:br/>
              <w:t xml:space="preserve">  "S0": 100.0, "K": 105.0,</w:t>
              <w:br/>
              <w:t xml:space="preserve">  "r": 0.10, "sigma": 0.20, "y": 0.0,</w:t>
              <w:br/>
              <w:t xml:space="preserve">  "T": 0.25, "M": 252, "N": 100000,</w:t>
              <w:br/>
              <w:t xml:space="preserve">  "seed": 0,</w:t>
              <w:br/>
              <w:t xml:space="preserve">  "regression_degree": 4,</w:t>
              <w:br/>
              <w:t xml:space="preserve">  "num_exercise_points": 50</w:t>
              <w:br/>
              <w:t>}</w:t>
            </w:r>
          </w:p>
        </w:tc>
      </w:tr>
    </w:tbl>
    <w:p>
      <w:pPr>
        <w:spacing w:after="20"/>
      </w:pPr>
    </w:p>
    <w:p>
      <w:pPr>
        <w:pStyle w:val="ListBullet"/>
        <w:spacing w:after="40"/>
      </w:pPr>
      <w:r>
        <w:t>Repeat the request with PathGeometricAsianOption.</w:t>
      </w:r>
    </w:p>
    <w:p>
      <w:pPr>
        <w:pStyle w:val="ListBullet"/>
        <w:spacing w:after="40"/>
      </w:pPr>
      <w:r>
        <w:t>For the European comparison, set exercise="European" and num_exercise_points=null.</w:t>
      </w:r>
    </w:p>
    <w:p>
      <w:pPr>
        <w:pStyle w:val="ListBullet"/>
        <w:spacing w:after="40"/>
      </w:pPr>
      <w:r>
        <w:t>Check the American-minus-European premium against combined standard errors.</w:t>
      </w:r>
    </w:p>
    <w:p>
      <w:pPr>
        <w:pStyle w:val="ListBullet"/>
        <w:spacing w:after="40"/>
      </w:pPr>
      <w:r>
        <w:t>Cross-check the European geometric Asian against its analytical approximation.</w:t>
      </w:r>
    </w:p>
    <w:p>
      <w:pPr>
        <w:pStyle w:val="ListBullet"/>
        <w:spacing w:after="40"/>
      </w:pPr>
      <w:r>
        <w:t>Repeat the American arithmetic request with the same seed to verify exact reproducibility.</w:t>
      </w:r>
    </w:p>
    <w:p>
      <w:pPr>
        <w:pStyle w:val="Heading1"/>
        <w:keepNext/>
      </w:pPr>
      <w:r>
        <w:t>36. American and European barrier options</w:t>
      </w:r>
    </w:p>
    <w:p>
      <w:pPr>
        <w:spacing w:after="120"/>
      </w:pPr>
      <w:r>
        <w:t>This benchmark combines European barrier parity and a Broadie-Glasserman-Kou anchor with American early-exercise bounds. It covers down barriers on calls and up barriers on puts.</w:t>
      </w:r>
    </w:p>
    <w:p>
      <w:pPr>
        <w:pStyle w:val="Heading2"/>
        <w:keepNext/>
      </w:pPr>
      <w:r>
        <w:t>36.1 European down-and-out call</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w:t>
              <w:br/>
              <w:t xml:space="preserve">  "exercise": "European",</w:t>
              <w:br/>
              <w:t xml:space="preserve">  "option_type": "Call",</w:t>
              <w:br/>
              <w:t xml:space="preserve">  "underlying": "PathIndependentOption",</w:t>
              <w:br/>
              <w:t xml:space="preserve">  "wrapper_order": "Barrier on underlying",</w:t>
              <w:br/>
              <w:t xml:space="preserve">  "barrier": "DownAndOutBarrier",</w:t>
              <w:br/>
              <w:t xml:space="preserve">  "up_barrier": 1.0e12,</w:t>
              <w:br/>
              <w:t xml:space="preserve">  "down_barrier": 95.0,</w:t>
              <w:br/>
              <w:t xml:space="preserve">  "rebate_in": 1.0,</w:t>
              <w:br/>
              <w:t xml:space="preserve">  "rebate_out": 0.0,</w:t>
              <w:br/>
              <w:t xml:space="preserve">  "S0": 100.0, "K": 100.0,</w:t>
              <w:br/>
              <w:t xml:space="preserve">  "r": 0.10, "sigma": 0.30, "y": 0.0,</w:t>
              <w:br/>
              <w:t xml:space="preserve">  "T": 0.20, "M": 50, "N": 100000, "seed": 0</w:t>
              <w:br/>
              <w:t>}</w:t>
            </w:r>
          </w:p>
        </w:tc>
      </w:tr>
    </w:tbl>
    <w:p>
      <w:pPr>
        <w:spacing w:after="20"/>
      </w:pPr>
    </w:p>
    <w:p>
      <w:pPr>
        <w:spacing w:after="120"/>
      </w:pPr>
      <w:r>
        <w:t>The down-and-out value is compared with the BGK discrete-monitoring benchmark 4.907. A matching down-and-in call plus the down-and-out call should recover the vanilla call within combined Monte Carlo error.</w:t>
      </w:r>
    </w:p>
    <w:p>
      <w:pPr>
        <w:pStyle w:val="Heading2"/>
        <w:keepNext/>
      </w:pPr>
      <w:r>
        <w:t>36.2 European up-barrier put parity</w:t>
      </w:r>
    </w:p>
    <w:p>
      <w:pPr>
        <w:spacing w:after="120"/>
      </w:pPr>
      <w:r>
        <w:t>Use UpAndOutBarrier and UpAndInBarrier with up_barrier=105 and a very low inactive down barrier. The sum of the in and out put values should recover the vanilla European put.</w:t>
      </w:r>
    </w:p>
    <w:p>
      <w:pPr>
        <w:pStyle w:val="Heading2"/>
        <w:keepNext/>
      </w:pPr>
      <w:r>
        <w:t>36.3 American bounds</w:t>
      </w:r>
    </w:p>
    <w:tbl>
      <w:tblPr>
        <w:tblStyle w:val="TableGrid"/>
        <w:tblW w:type="auto" w:w="0"/>
        <w:jc w:val="center"/>
        <w:tblLook w:firstColumn="1" w:firstRow="1" w:lastColumn="0" w:lastRow="0" w:noHBand="0" w:noVBand="1" w:val="04A0"/>
      </w:tblPr>
      <w:tblGrid>
        <w:gridCol w:w="5083"/>
        <w:gridCol w:w="5083"/>
      </w:tblGrid>
      <w:tr>
        <w:tc>
          <w:tcPr>
            <w:tcW w:type="dxa" w:w="5083"/>
            <w:shd w:fill="1F4E78"/>
            <w:vAlign w:val="center"/>
            <w:tcMar>
              <w:top w:w="80" w:type="dxa"/>
              <w:start w:w="100" w:type="dxa"/>
              <w:bottom w:w="80" w:type="dxa"/>
              <w:end w:w="100" w:type="dxa"/>
            </w:tcMar>
          </w:tcPr>
          <w:p>
            <w:r>
              <w:rPr>
                <w:b/>
                <w:color w:val="FFFFFF"/>
                <w:sz w:val="16"/>
              </w:rPr>
              <w:t>American product</w:t>
            </w:r>
          </w:p>
        </w:tc>
        <w:tc>
          <w:tcPr>
            <w:tcW w:type="dxa" w:w="5083"/>
            <w:shd w:fill="1F4E78"/>
            <w:vAlign w:val="center"/>
            <w:tcMar>
              <w:top w:w="80" w:type="dxa"/>
              <w:start w:w="100" w:type="dxa"/>
              <w:bottom w:w="80" w:type="dxa"/>
              <w:end w:w="100" w:type="dxa"/>
            </w:tcMar>
          </w:tcPr>
          <w:p>
            <w:r>
              <w:rPr>
                <w:b/>
                <w:color w:val="FFFFFF"/>
                <w:sz w:val="16"/>
              </w:rPr>
              <w:t>Expected checks</w:t>
            </w:r>
          </w:p>
        </w:tc>
      </w:tr>
      <w:tr>
        <w:trPr>
          <w:cantSplit/>
        </w:trPr>
        <w:tc>
          <w:tcPr>
            <w:tcW w:type="dxa" w:w="5083"/>
            <w:tcMar>
              <w:top w:w="80" w:type="dxa"/>
              <w:start w:w="100" w:type="dxa"/>
              <w:bottom w:w="80" w:type="dxa"/>
              <w:end w:w="100" w:type="dxa"/>
            </w:tcMar>
            <w:vAlign w:val="top"/>
          </w:tcPr>
          <w:p>
            <w:r>
              <w:rPr>
                <w:sz w:val="16"/>
              </w:rPr>
              <w:t>Down-and-out call</w:t>
            </w:r>
          </w:p>
        </w:tc>
        <w:tc>
          <w:tcPr>
            <w:tcW w:type="dxa" w:w="5083"/>
            <w:tcMar>
              <w:top w:w="80" w:type="dxa"/>
              <w:start w:w="100" w:type="dxa"/>
              <w:bottom w:w="80" w:type="dxa"/>
              <w:end w:w="100" w:type="dxa"/>
            </w:tcMar>
            <w:vAlign w:val="top"/>
          </w:tcPr>
          <w:p>
            <w:r>
              <w:rPr>
                <w:sz w:val="16"/>
              </w:rPr>
              <w:t>Finite/nonnegative; at least the European down-and-out value within MC tolerance; no greater than the vanilla American call beyond tolerance.</w:t>
            </w:r>
          </w:p>
        </w:tc>
      </w:tr>
      <w:tr>
        <w:trPr>
          <w:cantSplit/>
        </w:trPr>
        <w:tc>
          <w:tcPr>
            <w:tcW w:type="dxa" w:w="5083"/>
            <w:tcMar>
              <w:top w:w="80" w:type="dxa"/>
              <w:start w:w="100" w:type="dxa"/>
              <w:bottom w:w="80" w:type="dxa"/>
              <w:end w:w="100" w:type="dxa"/>
            </w:tcMar>
            <w:vAlign w:val="top"/>
          </w:tcPr>
          <w:p>
            <w:r>
              <w:rPr>
                <w:sz w:val="16"/>
              </w:rPr>
              <w:t>Up-and-out put</w:t>
            </w:r>
          </w:p>
        </w:tc>
        <w:tc>
          <w:tcPr>
            <w:tcW w:type="dxa" w:w="5083"/>
            <w:tcMar>
              <w:top w:w="80" w:type="dxa"/>
              <w:start w:w="100" w:type="dxa"/>
              <w:bottom w:w="80" w:type="dxa"/>
              <w:end w:w="100" w:type="dxa"/>
            </w:tcMar>
            <w:vAlign w:val="top"/>
          </w:tcPr>
          <w:p>
            <w:r>
              <w:rPr>
                <w:sz w:val="16"/>
              </w:rPr>
              <w:t>Finite/nonnegative; at least the European up-and-out value within tolerance; no greater than the vanilla American put beyond tolerance.</w:t>
            </w:r>
          </w:p>
        </w:tc>
      </w:tr>
    </w:tbl>
    <w:p>
      <w:pPr>
        <w:spacing w:after="40"/>
      </w:pPr>
    </w:p>
    <w:p>
      <w:pPr>
        <w:spacing w:after="120"/>
      </w:pPr>
      <w:r>
        <w:t>American requests add regression_degree=3 and num_exercise_points=50. The same path grid and seed are used for comparison products.</w:t>
      </w:r>
    </w:p>
    <w:p>
      <w:pPr>
        <w:pStyle w:val="Heading1"/>
        <w:keepNext/>
      </w:pPr>
      <w:r>
        <w:t>37. Importance sampling: public schemes</w:t>
      </w:r>
    </w:p>
    <w:p>
      <w:pPr>
        <w:spacing w:after="120"/>
      </w:pPr>
      <w:r>
        <w:t>Importance sampling changes the simulation distribution while preserving the target expectation through likelihood weighting. The benchmark covers general mean shifts, an arithmetic-Asian-specific scheme, and barrier-specific schemes.</w:t>
      </w:r>
    </w:p>
    <w:p>
      <w:pPr>
        <w:pStyle w:val="Heading2"/>
        <w:keepNext/>
      </w:pPr>
      <w:r>
        <w:t>37.1 General methods</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Scheme</w:t>
            </w:r>
          </w:p>
        </w:tc>
        <w:tc>
          <w:tcPr>
            <w:tcW w:type="dxa" w:w="3389"/>
            <w:shd w:fill="1F4E78"/>
            <w:vAlign w:val="center"/>
            <w:tcMar>
              <w:top w:w="80" w:type="dxa"/>
              <w:start w:w="100" w:type="dxa"/>
              <w:bottom w:w="80" w:type="dxa"/>
              <w:end w:w="100" w:type="dxa"/>
            </w:tcMar>
          </w:tcPr>
          <w:p>
            <w:r>
              <w:rPr>
                <w:b/>
                <w:color w:val="FFFFFF"/>
                <w:sz w:val="16"/>
              </w:rPr>
              <w:t>Typical target</w:t>
            </w:r>
          </w:p>
        </w:tc>
        <w:tc>
          <w:tcPr>
            <w:tcW w:type="dxa" w:w="3389"/>
            <w:shd w:fill="1F4E78"/>
            <w:vAlign w:val="center"/>
            <w:tcMar>
              <w:top w:w="80" w:type="dxa"/>
              <w:start w:w="100" w:type="dxa"/>
              <w:bottom w:w="80" w:type="dxa"/>
              <w:end w:w="100" w:type="dxa"/>
            </w:tcMar>
          </w:tcPr>
          <w:p>
            <w:r>
              <w:rPr>
                <w:b/>
                <w:color w:val="FFFFFF"/>
                <w:sz w:val="16"/>
              </w:rPr>
              <w:t>Mean tweak</w:t>
            </w:r>
          </w:p>
        </w:tc>
      </w:tr>
      <w:tr>
        <w:trPr>
          <w:cantSplit/>
        </w:trPr>
        <w:tc>
          <w:tcPr>
            <w:tcW w:type="dxa" w:w="3389"/>
            <w:tcMar>
              <w:top w:w="80" w:type="dxa"/>
              <w:start w:w="100" w:type="dxa"/>
              <w:bottom w:w="80" w:type="dxa"/>
              <w:end w:w="100" w:type="dxa"/>
            </w:tcMar>
            <w:vAlign w:val="top"/>
          </w:tcPr>
          <w:p>
            <w:r>
              <w:rPr>
                <w:sz w:val="16"/>
              </w:rPr>
              <w:t>ChangeOfMean2</w:t>
            </w:r>
          </w:p>
        </w:tc>
        <w:tc>
          <w:tcPr>
            <w:tcW w:type="dxa" w:w="3389"/>
            <w:tcMar>
              <w:top w:w="80" w:type="dxa"/>
              <w:start w:w="100" w:type="dxa"/>
              <w:bottom w:w="80" w:type="dxa"/>
              <w:end w:w="100" w:type="dxa"/>
            </w:tcMar>
            <w:vAlign w:val="top"/>
          </w:tcPr>
          <w:p>
            <w:r>
              <w:rPr>
                <w:sz w:val="16"/>
              </w:rPr>
              <w:t>Deep out-of-the-money vanilla or Asian</w:t>
            </w:r>
          </w:p>
        </w:tc>
        <w:tc>
          <w:tcPr>
            <w:tcW w:type="dxa" w:w="3389"/>
            <w:tcMar>
              <w:top w:w="80" w:type="dxa"/>
              <w:start w:w="100" w:type="dxa"/>
              <w:bottom w:w="80" w:type="dxa"/>
              <w:end w:w="100" w:type="dxa"/>
            </w:tcMar>
            <w:vAlign w:val="top"/>
          </w:tcPr>
          <w:p>
            <w:r>
              <w:rPr>
                <w:sz w:val="16"/>
              </w:rPr>
              <w:t>Usually 0.0; method chooses its transformation.</w:t>
            </w:r>
          </w:p>
        </w:tc>
      </w:tr>
      <w:tr>
        <w:trPr>
          <w:cantSplit/>
        </w:trPr>
        <w:tc>
          <w:tcPr>
            <w:tcW w:type="dxa" w:w="3389"/>
            <w:tcMar>
              <w:top w:w="80" w:type="dxa"/>
              <w:start w:w="100" w:type="dxa"/>
              <w:bottom w:w="80" w:type="dxa"/>
              <w:end w:w="100" w:type="dxa"/>
            </w:tcMar>
            <w:vAlign w:val="top"/>
          </w:tcPr>
          <w:p>
            <w:r>
              <w:rPr>
                <w:sz w:val="16"/>
              </w:rPr>
              <w:t>ChangeOfMean</w:t>
            </w:r>
          </w:p>
        </w:tc>
        <w:tc>
          <w:tcPr>
            <w:tcW w:type="dxa" w:w="3389"/>
            <w:tcMar>
              <w:top w:w="80" w:type="dxa"/>
              <w:start w:w="100" w:type="dxa"/>
              <w:bottom w:w="80" w:type="dxa"/>
              <w:end w:w="100" w:type="dxa"/>
            </w:tcMar>
            <w:vAlign w:val="top"/>
          </w:tcPr>
          <w:p>
            <w:r>
              <w:rPr>
                <w:sz w:val="16"/>
              </w:rPr>
              <w:t>Deep out-of-the-money vanilla or Asian</w:t>
            </w:r>
          </w:p>
        </w:tc>
        <w:tc>
          <w:tcPr>
            <w:tcW w:type="dxa" w:w="3389"/>
            <w:tcMar>
              <w:top w:w="80" w:type="dxa"/>
              <w:start w:w="100" w:type="dxa"/>
              <w:bottom w:w="80" w:type="dxa"/>
              <w:end w:w="100" w:type="dxa"/>
            </w:tcMar>
            <w:vAlign w:val="top"/>
          </w:tcPr>
          <w:p>
            <w:r>
              <w:rPr>
                <w:sz w:val="16"/>
              </w:rPr>
              <w:t>User supplies a drift shift, often based on the target strike.</w:t>
            </w:r>
          </w:p>
        </w:tc>
      </w:tr>
      <w:tr>
        <w:trPr>
          <w:cantSplit/>
        </w:trPr>
        <w:tc>
          <w:tcPr>
            <w:tcW w:type="dxa" w:w="3389"/>
            <w:tcMar>
              <w:top w:w="80" w:type="dxa"/>
              <w:start w:w="100" w:type="dxa"/>
              <w:bottom w:w="80" w:type="dxa"/>
              <w:end w:w="100" w:type="dxa"/>
            </w:tcMar>
            <w:vAlign w:val="top"/>
          </w:tcPr>
          <w:p>
            <w:r>
              <w:rPr>
                <w:sz w:val="16"/>
              </w:rPr>
              <w:t>ArithmeticAsian</w:t>
            </w:r>
          </w:p>
        </w:tc>
        <w:tc>
          <w:tcPr>
            <w:tcW w:type="dxa" w:w="3389"/>
            <w:tcMar>
              <w:top w:w="80" w:type="dxa"/>
              <w:start w:w="100" w:type="dxa"/>
              <w:bottom w:w="80" w:type="dxa"/>
              <w:end w:w="100" w:type="dxa"/>
            </w:tcMar>
            <w:vAlign w:val="top"/>
          </w:tcPr>
          <w:p>
            <w:r>
              <w:rPr>
                <w:sz w:val="16"/>
              </w:rPr>
              <w:t>Arithmetic-average Asian</w:t>
            </w:r>
          </w:p>
        </w:tc>
        <w:tc>
          <w:tcPr>
            <w:tcW w:type="dxa" w:w="3389"/>
            <w:tcMar>
              <w:top w:w="80" w:type="dxa"/>
              <w:start w:w="100" w:type="dxa"/>
              <w:bottom w:w="80" w:type="dxa"/>
              <w:end w:w="100" w:type="dxa"/>
            </w:tcMar>
            <w:vAlign w:val="top"/>
          </w:tcPr>
          <w:p>
            <w:r>
              <w:rPr>
                <w:sz w:val="16"/>
              </w:rPr>
              <w:t>0.0 in the benchmark.</w:t>
            </w:r>
          </w:p>
        </w:tc>
      </w:tr>
    </w:tbl>
    <w:p>
      <w:pPr>
        <w:spacing w:after="40"/>
      </w:pP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mean_tweak = math.log(140.0 / S0) / T - (r-y-0.5*sigma*sigma)</w:t>
              <w:br/>
              <w:t>result = price(</w:t>
              <w:br/>
              <w:t xml:space="preserve">    "European", "Call",</w:t>
              <w:br/>
              <w:t xml:space="preserve">    underlying="PathIndependentOption",</w:t>
              <w:br/>
              <w:t xml:space="preserve">    K=140.0,</w:t>
              <w:br/>
              <w:t xml:space="preserve">    importance_sampling="ChangeOfMean",</w:t>
              <w:br/>
              <w:t xml:space="preserve">    importance_sampling_mean_tweak=mean_tweak,</w:t>
              <w:br/>
              <w:t xml:space="preserve">    num_repetitions=8,</w:t>
              <w:br/>
              <w:t xml:space="preserve">    S0=100, r=0.10, sigma=0.30, y=0,</w:t>
              <w:br/>
              <w:t xml:space="preserve">    T=0.2, M=50, N=200000, seed=0</w:t>
              <w:br/>
              <w:t>)</w:t>
            </w:r>
          </w:p>
        </w:tc>
      </w:tr>
    </w:tbl>
    <w:p>
      <w:pPr>
        <w:spacing w:after="20"/>
      </w:pPr>
    </w:p>
    <w:p>
      <w:pPr>
        <w:pStyle w:val="Heading2"/>
        <w:keepNext/>
      </w:pPr>
      <w:r>
        <w:t>37.2 Barrier-specific methods</w:t>
      </w:r>
    </w:p>
    <w:tbl>
      <w:tblPr>
        <w:tblStyle w:val="TableGrid"/>
        <w:tblW w:type="auto" w:w="0"/>
        <w:jc w:val="center"/>
        <w:tblLook w:firstColumn="1" w:firstRow="1" w:lastColumn="0" w:lastRow="0" w:noHBand="0" w:noVBand="1" w:val="04A0"/>
      </w:tblPr>
      <w:tblGrid>
        <w:gridCol w:w="5083"/>
        <w:gridCol w:w="5083"/>
      </w:tblGrid>
      <w:tr>
        <w:tc>
          <w:tcPr>
            <w:tcW w:type="dxa" w:w="5083"/>
            <w:shd w:fill="1F4E78"/>
            <w:vAlign w:val="center"/>
            <w:tcMar>
              <w:top w:w="80" w:type="dxa"/>
              <w:start w:w="100" w:type="dxa"/>
              <w:bottom w:w="80" w:type="dxa"/>
              <w:end w:w="100" w:type="dxa"/>
            </w:tcMar>
          </w:tcPr>
          <w:p>
            <w:r>
              <w:rPr>
                <w:b/>
                <w:color w:val="FFFFFF"/>
                <w:sz w:val="16"/>
              </w:rPr>
              <w:t>importance_sampling</w:t>
            </w:r>
          </w:p>
        </w:tc>
        <w:tc>
          <w:tcPr>
            <w:tcW w:type="dxa" w:w="5083"/>
            <w:shd w:fill="1F4E78"/>
            <w:vAlign w:val="center"/>
            <w:tcMar>
              <w:top w:w="80" w:type="dxa"/>
              <w:start w:w="100" w:type="dxa"/>
              <w:bottom w:w="80" w:type="dxa"/>
              <w:end w:w="100" w:type="dxa"/>
            </w:tcMar>
          </w:tcPr>
          <w:p>
            <w:r>
              <w:rPr>
                <w:b/>
                <w:color w:val="FFFFFF"/>
                <w:sz w:val="16"/>
              </w:rPr>
              <w:t>Required matching barrier</w:t>
            </w:r>
          </w:p>
        </w:tc>
      </w:tr>
      <w:tr>
        <w:trPr>
          <w:cantSplit/>
        </w:trPr>
        <w:tc>
          <w:tcPr>
            <w:tcW w:type="dxa" w:w="5083"/>
            <w:tcMar>
              <w:top w:w="80" w:type="dxa"/>
              <w:start w:w="100" w:type="dxa"/>
              <w:bottom w:w="80" w:type="dxa"/>
              <w:end w:w="100" w:type="dxa"/>
            </w:tcMar>
            <w:vAlign w:val="top"/>
          </w:tcPr>
          <w:p>
            <w:r>
              <w:rPr>
                <w:sz w:val="16"/>
              </w:rPr>
              <w:t>DownAndInBarrier</w:t>
            </w:r>
          </w:p>
        </w:tc>
        <w:tc>
          <w:tcPr>
            <w:tcW w:type="dxa" w:w="5083"/>
            <w:tcMar>
              <w:top w:w="80" w:type="dxa"/>
              <w:start w:w="100" w:type="dxa"/>
              <w:bottom w:w="80" w:type="dxa"/>
              <w:end w:w="100" w:type="dxa"/>
            </w:tcMar>
            <w:vAlign w:val="top"/>
          </w:tcPr>
          <w:p>
            <w:r>
              <w:rPr>
                <w:sz w:val="16"/>
              </w:rPr>
              <w:t>DownAndInBarrier</w:t>
            </w:r>
          </w:p>
        </w:tc>
      </w:tr>
      <w:tr>
        <w:trPr>
          <w:cantSplit/>
        </w:trPr>
        <w:tc>
          <w:tcPr>
            <w:tcW w:type="dxa" w:w="5083"/>
            <w:tcMar>
              <w:top w:w="80" w:type="dxa"/>
              <w:start w:w="100" w:type="dxa"/>
              <w:bottom w:w="80" w:type="dxa"/>
              <w:end w:w="100" w:type="dxa"/>
            </w:tcMar>
            <w:vAlign w:val="top"/>
          </w:tcPr>
          <w:p>
            <w:r>
              <w:rPr>
                <w:sz w:val="16"/>
              </w:rPr>
              <w:t>DownAndOutBarrier</w:t>
            </w:r>
          </w:p>
        </w:tc>
        <w:tc>
          <w:tcPr>
            <w:tcW w:type="dxa" w:w="5083"/>
            <w:tcMar>
              <w:top w:w="80" w:type="dxa"/>
              <w:start w:w="100" w:type="dxa"/>
              <w:bottom w:w="80" w:type="dxa"/>
              <w:end w:w="100" w:type="dxa"/>
            </w:tcMar>
            <w:vAlign w:val="top"/>
          </w:tcPr>
          <w:p>
            <w:r>
              <w:rPr>
                <w:sz w:val="16"/>
              </w:rPr>
              <w:t>DownAndOutBarrier</w:t>
            </w:r>
          </w:p>
        </w:tc>
      </w:tr>
      <w:tr>
        <w:trPr>
          <w:cantSplit/>
        </w:trPr>
        <w:tc>
          <w:tcPr>
            <w:tcW w:type="dxa" w:w="5083"/>
            <w:tcMar>
              <w:top w:w="80" w:type="dxa"/>
              <w:start w:w="100" w:type="dxa"/>
              <w:bottom w:w="80" w:type="dxa"/>
              <w:end w:w="100" w:type="dxa"/>
            </w:tcMar>
            <w:vAlign w:val="top"/>
          </w:tcPr>
          <w:p>
            <w:r>
              <w:rPr>
                <w:sz w:val="16"/>
              </w:rPr>
              <w:t>UpAndInBarrier</w:t>
            </w:r>
          </w:p>
        </w:tc>
        <w:tc>
          <w:tcPr>
            <w:tcW w:type="dxa" w:w="5083"/>
            <w:tcMar>
              <w:top w:w="80" w:type="dxa"/>
              <w:start w:w="100" w:type="dxa"/>
              <w:bottom w:w="80" w:type="dxa"/>
              <w:end w:w="100" w:type="dxa"/>
            </w:tcMar>
            <w:vAlign w:val="top"/>
          </w:tcPr>
          <w:p>
            <w:r>
              <w:rPr>
                <w:sz w:val="16"/>
              </w:rPr>
              <w:t>UpAndInBarrier</w:t>
            </w:r>
          </w:p>
        </w:tc>
      </w:tr>
      <w:tr>
        <w:trPr>
          <w:cantSplit/>
        </w:trPr>
        <w:tc>
          <w:tcPr>
            <w:tcW w:type="dxa" w:w="5083"/>
            <w:tcMar>
              <w:top w:w="80" w:type="dxa"/>
              <w:start w:w="100" w:type="dxa"/>
              <w:bottom w:w="80" w:type="dxa"/>
              <w:end w:w="100" w:type="dxa"/>
            </w:tcMar>
            <w:vAlign w:val="top"/>
          </w:tcPr>
          <w:p>
            <w:r>
              <w:rPr>
                <w:sz w:val="16"/>
              </w:rPr>
              <w:t>UpAndOutBarrier</w:t>
            </w:r>
          </w:p>
        </w:tc>
        <w:tc>
          <w:tcPr>
            <w:tcW w:type="dxa" w:w="5083"/>
            <w:tcMar>
              <w:top w:w="80" w:type="dxa"/>
              <w:start w:w="100" w:type="dxa"/>
              <w:bottom w:w="80" w:type="dxa"/>
              <w:end w:w="100" w:type="dxa"/>
            </w:tcMar>
            <w:vAlign w:val="top"/>
          </w:tcPr>
          <w:p>
            <w:r>
              <w:rPr>
                <w:sz w:val="16"/>
              </w:rPr>
              <w:t>UpAndOutBarrier</w:t>
            </w:r>
          </w:p>
        </w:tc>
      </w:tr>
      <w:tr>
        <w:trPr>
          <w:cantSplit/>
        </w:trPr>
        <w:tc>
          <w:tcPr>
            <w:tcW w:type="dxa" w:w="5083"/>
            <w:tcMar>
              <w:top w:w="80" w:type="dxa"/>
              <w:start w:w="100" w:type="dxa"/>
              <w:bottom w:w="80" w:type="dxa"/>
              <w:end w:w="100" w:type="dxa"/>
            </w:tcMar>
            <w:vAlign w:val="top"/>
          </w:tcPr>
          <w:p>
            <w:r>
              <w:rPr>
                <w:sz w:val="16"/>
              </w:rPr>
              <w:t>DoubleKnockInBarrier</w:t>
            </w:r>
          </w:p>
        </w:tc>
        <w:tc>
          <w:tcPr>
            <w:tcW w:type="dxa" w:w="5083"/>
            <w:tcMar>
              <w:top w:w="80" w:type="dxa"/>
              <w:start w:w="100" w:type="dxa"/>
              <w:bottom w:w="80" w:type="dxa"/>
              <w:end w:w="100" w:type="dxa"/>
            </w:tcMar>
            <w:vAlign w:val="top"/>
          </w:tcPr>
          <w:p>
            <w:r>
              <w:rPr>
                <w:sz w:val="16"/>
              </w:rPr>
              <w:t>DoubleKnockInBarrier</w:t>
            </w:r>
          </w:p>
        </w:tc>
      </w:tr>
      <w:tr>
        <w:trPr>
          <w:cantSplit/>
        </w:trPr>
        <w:tc>
          <w:tcPr>
            <w:tcW w:type="dxa" w:w="5083"/>
            <w:tcMar>
              <w:top w:w="80" w:type="dxa"/>
              <w:start w:w="100" w:type="dxa"/>
              <w:bottom w:w="80" w:type="dxa"/>
              <w:end w:w="100" w:type="dxa"/>
            </w:tcMar>
            <w:vAlign w:val="top"/>
          </w:tcPr>
          <w:p>
            <w:r>
              <w:rPr>
                <w:sz w:val="16"/>
              </w:rPr>
              <w:t>DoubleKnockOutBarrier</w:t>
            </w:r>
          </w:p>
        </w:tc>
        <w:tc>
          <w:tcPr>
            <w:tcW w:type="dxa" w:w="5083"/>
            <w:tcMar>
              <w:top w:w="80" w:type="dxa"/>
              <w:start w:w="100" w:type="dxa"/>
              <w:bottom w:w="80" w:type="dxa"/>
              <w:end w:w="100" w:type="dxa"/>
            </w:tcMar>
            <w:vAlign w:val="top"/>
          </w:tcPr>
          <w:p>
            <w:r>
              <w:rPr>
                <w:sz w:val="16"/>
              </w:rPr>
              <w:t>DoubleKnockOutBarrier</w:t>
            </w:r>
          </w:p>
        </w:tc>
      </w:tr>
      <w:tr>
        <w:trPr>
          <w:cantSplit/>
        </w:trPr>
        <w:tc>
          <w:tcPr>
            <w:tcW w:type="dxa" w:w="5083"/>
            <w:tcMar>
              <w:top w:w="80" w:type="dxa"/>
              <w:start w:w="100" w:type="dxa"/>
              <w:bottom w:w="80" w:type="dxa"/>
              <w:end w:w="100" w:type="dxa"/>
            </w:tcMar>
            <w:vAlign w:val="top"/>
          </w:tcPr>
          <w:p>
            <w:r>
              <w:rPr>
                <w:sz w:val="16"/>
              </w:rPr>
              <w:t>UpKnockInDownKnockOutBarrier</w:t>
            </w:r>
          </w:p>
        </w:tc>
        <w:tc>
          <w:tcPr>
            <w:tcW w:type="dxa" w:w="5083"/>
            <w:tcMar>
              <w:top w:w="80" w:type="dxa"/>
              <w:start w:w="100" w:type="dxa"/>
              <w:bottom w:w="80" w:type="dxa"/>
              <w:end w:w="100" w:type="dxa"/>
            </w:tcMar>
            <w:vAlign w:val="top"/>
          </w:tcPr>
          <w:p>
            <w:r>
              <w:rPr>
                <w:sz w:val="16"/>
              </w:rPr>
              <w:t>UpKnockInDownKnockOutBarrier</w:t>
            </w:r>
          </w:p>
        </w:tc>
      </w:tr>
      <w:tr>
        <w:trPr>
          <w:cantSplit/>
        </w:trPr>
        <w:tc>
          <w:tcPr>
            <w:tcW w:type="dxa" w:w="5083"/>
            <w:tcMar>
              <w:top w:w="80" w:type="dxa"/>
              <w:start w:w="100" w:type="dxa"/>
              <w:bottom w:w="80" w:type="dxa"/>
              <w:end w:w="100" w:type="dxa"/>
            </w:tcMar>
            <w:vAlign w:val="top"/>
          </w:tcPr>
          <w:p>
            <w:r>
              <w:rPr>
                <w:sz w:val="16"/>
              </w:rPr>
              <w:t>UpKnockOutDownKnockInBarrier</w:t>
            </w:r>
          </w:p>
        </w:tc>
        <w:tc>
          <w:tcPr>
            <w:tcW w:type="dxa" w:w="5083"/>
            <w:tcMar>
              <w:top w:w="80" w:type="dxa"/>
              <w:start w:w="100" w:type="dxa"/>
              <w:bottom w:w="80" w:type="dxa"/>
              <w:end w:w="100" w:type="dxa"/>
            </w:tcMar>
            <w:vAlign w:val="top"/>
          </w:tcPr>
          <w:p>
            <w:r>
              <w:rPr>
                <w:sz w:val="16"/>
              </w:rPr>
              <w:t>UpKnockOutDownKnockInBarrier</w:t>
            </w:r>
          </w:p>
        </w:tc>
      </w:tr>
    </w:tbl>
    <w:p>
      <w:pPr>
        <w:spacing w:after="40"/>
      </w:pPr>
    </w:p>
    <w:p>
      <w:pPr>
        <w:spacing w:after="120"/>
      </w:pPr>
      <w:r>
        <w:t>The importance_sampling string uses the short registry name, while barrier identifies the payoff class. The API validates that the two match and that wrapper_order contains a barrier wrapper.</w:t>
      </w:r>
    </w:p>
    <w:p>
      <w:pPr>
        <w:pStyle w:val="Heading2"/>
        <w:keepNext/>
      </w:pPr>
      <w:r>
        <w:t>37.3 Validation pattern</w:t>
      </w:r>
    </w:p>
    <w:p>
      <w:pPr>
        <w:pStyle w:val="ListNumber"/>
        <w:spacing w:after="60"/>
      </w:pPr>
      <w:r>
        <w:t>Price the same contract without importance sampling.</w:t>
      </w:r>
    </w:p>
    <w:p>
      <w:pPr>
        <w:pStyle w:val="ListNumber"/>
        <w:spacing w:after="60"/>
      </w:pPr>
      <w:r>
        <w:t>Price it again with the chosen scheme and identical contract parameters.</w:t>
      </w:r>
    </w:p>
    <w:p>
      <w:pPr>
        <w:pStyle w:val="ListNumber"/>
        <w:spacing w:after="60"/>
      </w:pPr>
      <w:r>
        <w:t>Check that the estimates agree within combined uncertainty.</w:t>
      </w:r>
    </w:p>
    <w:p>
      <w:pPr>
        <w:pStyle w:val="ListNumber"/>
        <w:spacing w:after="60"/>
      </w:pPr>
      <w:r>
        <w:t>Inspect std_error to determine whether variance was reduced.</w:t>
      </w:r>
    </w:p>
    <w:p>
      <w:pPr>
        <w:pStyle w:val="ListNumber"/>
        <w:spacing w:after="60"/>
      </w:pPr>
      <w:r>
        <w:t>Confirm config_echo.importance_sampling_enabled and the resolved importance-sampling class.</w:t>
      </w:r>
    </w:p>
    <w:p>
      <w:pPr>
        <w:pStyle w:val="ListNumber"/>
        <w:spacing w:after="60"/>
      </w:pPr>
      <w:r>
        <w:t>Repeat the sampled request with the same seed and require exact reproducibility.</w:t>
      </w:r>
    </w:p>
    <w:p>
      <w:pPr>
        <w:pStyle w:val="Heading1"/>
        <w:keepNext/>
      </w:pPr>
      <w:r>
        <w:t>38. Benchmarking every importance-sampling family</w:t>
      </w:r>
    </w:p>
    <w:p>
      <w:pPr>
        <w:spacing w:after="120"/>
      </w:pPr>
      <w:r>
        <w:t>A second importance-sampling suite uses more extreme static and barrier cases to ensure every public registry entry can be selected through the flat API.</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Static case</w:t>
            </w:r>
          </w:p>
        </w:tc>
        <w:tc>
          <w:tcPr>
            <w:tcW w:type="dxa" w:w="3389"/>
            <w:shd w:fill="1F4E78"/>
            <w:vAlign w:val="center"/>
            <w:tcMar>
              <w:top w:w="80" w:type="dxa"/>
              <w:start w:w="100" w:type="dxa"/>
              <w:bottom w:w="80" w:type="dxa"/>
              <w:end w:w="100" w:type="dxa"/>
            </w:tcMar>
          </w:tcPr>
          <w:p>
            <w:r>
              <w:rPr>
                <w:b/>
                <w:color w:val="FFFFFF"/>
                <w:sz w:val="16"/>
              </w:rPr>
              <w:t>Underlying</w:t>
            </w:r>
          </w:p>
        </w:tc>
        <w:tc>
          <w:tcPr>
            <w:tcW w:type="dxa" w:w="3389"/>
            <w:shd w:fill="1F4E78"/>
            <w:vAlign w:val="center"/>
            <w:tcMar>
              <w:top w:w="80" w:type="dxa"/>
              <w:start w:w="100" w:type="dxa"/>
              <w:bottom w:w="80" w:type="dxa"/>
              <w:end w:w="100" w:type="dxa"/>
            </w:tcMar>
          </w:tcPr>
          <w:p>
            <w:r>
              <w:rPr>
                <w:b/>
                <w:color w:val="FFFFFF"/>
                <w:sz w:val="16"/>
              </w:rPr>
              <w:t>Strike</w:t>
            </w:r>
          </w:p>
        </w:tc>
      </w:tr>
      <w:tr>
        <w:trPr>
          <w:cantSplit/>
        </w:trPr>
        <w:tc>
          <w:tcPr>
            <w:tcW w:type="dxa" w:w="3389"/>
            <w:tcMar>
              <w:top w:w="80" w:type="dxa"/>
              <w:start w:w="100" w:type="dxa"/>
              <w:bottom w:w="80" w:type="dxa"/>
              <w:end w:w="100" w:type="dxa"/>
            </w:tcMar>
            <w:vAlign w:val="top"/>
          </w:tcPr>
          <w:p>
            <w:r>
              <w:rPr>
                <w:sz w:val="16"/>
              </w:rPr>
              <w:t>ChangeOfMean2</w:t>
            </w:r>
          </w:p>
        </w:tc>
        <w:tc>
          <w:tcPr>
            <w:tcW w:type="dxa" w:w="3389"/>
            <w:tcMar>
              <w:top w:w="80" w:type="dxa"/>
              <w:start w:w="100" w:type="dxa"/>
              <w:bottom w:w="80" w:type="dxa"/>
              <w:end w:w="100" w:type="dxa"/>
            </w:tcMar>
            <w:vAlign w:val="top"/>
          </w:tcPr>
          <w:p>
            <w:r>
              <w:rPr>
                <w:sz w:val="16"/>
              </w:rPr>
              <w:t>PathIndependentOption</w:t>
            </w:r>
          </w:p>
        </w:tc>
        <w:tc>
          <w:tcPr>
            <w:tcW w:type="dxa" w:w="3389"/>
            <w:tcMar>
              <w:top w:w="80" w:type="dxa"/>
              <w:start w:w="100" w:type="dxa"/>
              <w:bottom w:w="80" w:type="dxa"/>
              <w:end w:w="100" w:type="dxa"/>
            </w:tcMar>
            <w:vAlign w:val="top"/>
          </w:tcPr>
          <w:p>
            <w:r>
              <w:rPr>
                <w:sz w:val="16"/>
              </w:rPr>
              <w:t>150</w:t>
            </w:r>
          </w:p>
        </w:tc>
      </w:tr>
      <w:tr>
        <w:trPr>
          <w:cantSplit/>
        </w:trPr>
        <w:tc>
          <w:tcPr>
            <w:tcW w:type="dxa" w:w="3389"/>
            <w:tcMar>
              <w:top w:w="80" w:type="dxa"/>
              <w:start w:w="100" w:type="dxa"/>
              <w:bottom w:w="80" w:type="dxa"/>
              <w:end w:w="100" w:type="dxa"/>
            </w:tcMar>
            <w:vAlign w:val="top"/>
          </w:tcPr>
          <w:p>
            <w:r>
              <w:rPr>
                <w:sz w:val="16"/>
              </w:rPr>
              <w:t>ChangeOfMean</w:t>
            </w:r>
          </w:p>
        </w:tc>
        <w:tc>
          <w:tcPr>
            <w:tcW w:type="dxa" w:w="3389"/>
            <w:tcMar>
              <w:top w:w="80" w:type="dxa"/>
              <w:start w:w="100" w:type="dxa"/>
              <w:bottom w:w="80" w:type="dxa"/>
              <w:end w:w="100" w:type="dxa"/>
            </w:tcMar>
            <w:vAlign w:val="top"/>
          </w:tcPr>
          <w:p>
            <w:r>
              <w:rPr>
                <w:sz w:val="16"/>
              </w:rPr>
              <w:t>PathIndependentOption</w:t>
            </w:r>
          </w:p>
        </w:tc>
        <w:tc>
          <w:tcPr>
            <w:tcW w:type="dxa" w:w="3389"/>
            <w:tcMar>
              <w:top w:w="80" w:type="dxa"/>
              <w:start w:w="100" w:type="dxa"/>
              <w:bottom w:w="80" w:type="dxa"/>
              <w:end w:w="100" w:type="dxa"/>
            </w:tcMar>
            <w:vAlign w:val="top"/>
          </w:tcPr>
          <w:p>
            <w:r>
              <w:rPr>
                <w:sz w:val="16"/>
              </w:rPr>
              <w:t>150</w:t>
            </w:r>
          </w:p>
        </w:tc>
      </w:tr>
      <w:tr>
        <w:trPr>
          <w:cantSplit/>
        </w:trPr>
        <w:tc>
          <w:tcPr>
            <w:tcW w:type="dxa" w:w="3389"/>
            <w:tcMar>
              <w:top w:w="80" w:type="dxa"/>
              <w:start w:w="100" w:type="dxa"/>
              <w:bottom w:w="80" w:type="dxa"/>
              <w:end w:w="100" w:type="dxa"/>
            </w:tcMar>
            <w:vAlign w:val="top"/>
          </w:tcPr>
          <w:p>
            <w:r>
              <w:rPr>
                <w:sz w:val="16"/>
              </w:rPr>
              <w:t>ArithmeticAsian</w:t>
            </w:r>
          </w:p>
        </w:tc>
        <w:tc>
          <w:tcPr>
            <w:tcW w:type="dxa" w:w="3389"/>
            <w:tcMar>
              <w:top w:w="80" w:type="dxa"/>
              <w:start w:w="100" w:type="dxa"/>
              <w:bottom w:w="80" w:type="dxa"/>
              <w:end w:w="100" w:type="dxa"/>
            </w:tcMar>
            <w:vAlign w:val="top"/>
          </w:tcPr>
          <w:p>
            <w:r>
              <w:rPr>
                <w:sz w:val="16"/>
              </w:rPr>
              <w:t>PathArithmeticAsianOption</w:t>
            </w:r>
          </w:p>
        </w:tc>
        <w:tc>
          <w:tcPr>
            <w:tcW w:type="dxa" w:w="3389"/>
            <w:tcMar>
              <w:top w:w="80" w:type="dxa"/>
              <w:start w:w="100" w:type="dxa"/>
              <w:bottom w:w="80" w:type="dxa"/>
              <w:end w:w="100" w:type="dxa"/>
            </w:tcMar>
            <w:vAlign w:val="top"/>
          </w:tcPr>
          <w:p>
            <w:r>
              <w:rPr>
                <w:sz w:val="16"/>
              </w:rPr>
              <w:t>130</w:t>
            </w:r>
          </w:p>
        </w:tc>
      </w:tr>
      <w:tr>
        <w:trPr>
          <w:cantSplit/>
        </w:trPr>
        <w:tc>
          <w:tcPr>
            <w:tcW w:type="dxa" w:w="3389"/>
            <w:tcMar>
              <w:top w:w="80" w:type="dxa"/>
              <w:start w:w="100" w:type="dxa"/>
              <w:bottom w:w="80" w:type="dxa"/>
              <w:end w:w="100" w:type="dxa"/>
            </w:tcMar>
            <w:vAlign w:val="top"/>
          </w:tcPr>
          <w:p>
            <w:r>
              <w:rPr>
                <w:sz w:val="16"/>
              </w:rPr>
              <w:t>ChangeOfMean2 Asian</w:t>
            </w:r>
          </w:p>
        </w:tc>
        <w:tc>
          <w:tcPr>
            <w:tcW w:type="dxa" w:w="3389"/>
            <w:tcMar>
              <w:top w:w="80" w:type="dxa"/>
              <w:start w:w="100" w:type="dxa"/>
              <w:bottom w:w="80" w:type="dxa"/>
              <w:end w:w="100" w:type="dxa"/>
            </w:tcMar>
            <w:vAlign w:val="top"/>
          </w:tcPr>
          <w:p>
            <w:r>
              <w:rPr>
                <w:sz w:val="16"/>
              </w:rPr>
              <w:t>PathArithmeticAsianOption</w:t>
            </w:r>
          </w:p>
        </w:tc>
        <w:tc>
          <w:tcPr>
            <w:tcW w:type="dxa" w:w="3389"/>
            <w:tcMar>
              <w:top w:w="80" w:type="dxa"/>
              <w:start w:w="100" w:type="dxa"/>
              <w:bottom w:w="80" w:type="dxa"/>
              <w:end w:w="100" w:type="dxa"/>
            </w:tcMar>
            <w:vAlign w:val="top"/>
          </w:tcPr>
          <w:p>
            <w:r>
              <w:rPr>
                <w:sz w:val="16"/>
              </w:rPr>
              <w:t>130</w:t>
            </w:r>
          </w:p>
        </w:tc>
      </w:tr>
    </w:tbl>
    <w:p>
      <w:pPr>
        <w:spacing w:after="40"/>
      </w:pP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shd w:fill="1F4E78"/>
            <w:vAlign w:val="center"/>
            <w:tcMar>
              <w:top w:w="80" w:type="dxa"/>
              <w:start w:w="100" w:type="dxa"/>
              <w:bottom w:w="80" w:type="dxa"/>
              <w:end w:w="100" w:type="dxa"/>
            </w:tcMar>
          </w:tcPr>
          <w:p>
            <w:r>
              <w:rPr>
                <w:b/>
                <w:color w:val="FFFFFF"/>
                <w:sz w:val="16"/>
              </w:rPr>
              <w:t>Barrier scheme</w:t>
            </w:r>
          </w:p>
        </w:tc>
        <w:tc>
          <w:tcPr>
            <w:tcW w:type="dxa" w:w="2541"/>
            <w:shd w:fill="1F4E78"/>
            <w:vAlign w:val="center"/>
            <w:tcMar>
              <w:top w:w="80" w:type="dxa"/>
              <w:start w:w="100" w:type="dxa"/>
              <w:bottom w:w="80" w:type="dxa"/>
              <w:end w:w="100" w:type="dxa"/>
            </w:tcMar>
          </w:tcPr>
          <w:p>
            <w:r>
              <w:rPr>
                <w:b/>
                <w:color w:val="FFFFFF"/>
                <w:sz w:val="16"/>
              </w:rPr>
              <w:t>Barrier class</w:t>
            </w:r>
          </w:p>
        </w:tc>
        <w:tc>
          <w:tcPr>
            <w:tcW w:type="dxa" w:w="2541"/>
            <w:shd w:fill="1F4E78"/>
            <w:vAlign w:val="center"/>
            <w:tcMar>
              <w:top w:w="80" w:type="dxa"/>
              <w:start w:w="100" w:type="dxa"/>
              <w:bottom w:w="80" w:type="dxa"/>
              <w:end w:w="100" w:type="dxa"/>
            </w:tcMar>
          </w:tcPr>
          <w:p>
            <w:r>
              <w:rPr>
                <w:b/>
                <w:color w:val="FFFFFF"/>
                <w:sz w:val="16"/>
              </w:rPr>
              <w:t>Up</w:t>
            </w:r>
          </w:p>
        </w:tc>
        <w:tc>
          <w:tcPr>
            <w:tcW w:type="dxa" w:w="2541"/>
            <w:shd w:fill="1F4E78"/>
            <w:vAlign w:val="center"/>
            <w:tcMar>
              <w:top w:w="80" w:type="dxa"/>
              <w:start w:w="100" w:type="dxa"/>
              <w:bottom w:w="80" w:type="dxa"/>
              <w:end w:w="100" w:type="dxa"/>
            </w:tcMar>
          </w:tcPr>
          <w:p>
            <w:r>
              <w:rPr>
                <w:b/>
                <w:color w:val="FFFFFF"/>
                <w:sz w:val="16"/>
              </w:rPr>
              <w:t>Down</w:t>
            </w:r>
          </w:p>
        </w:tc>
      </w:tr>
      <w:tr>
        <w:trPr>
          <w:cantSplit/>
        </w:trPr>
        <w:tc>
          <w:tcPr>
            <w:tcW w:type="dxa" w:w="2541"/>
            <w:tcMar>
              <w:top w:w="80" w:type="dxa"/>
              <w:start w:w="100" w:type="dxa"/>
              <w:bottom w:w="80" w:type="dxa"/>
              <w:end w:w="100" w:type="dxa"/>
            </w:tcMar>
            <w:vAlign w:val="top"/>
          </w:tcPr>
          <w:p>
            <w:r>
              <w:rPr>
                <w:sz w:val="16"/>
              </w:rPr>
              <w:t>DownAndIn</w:t>
            </w:r>
          </w:p>
        </w:tc>
        <w:tc>
          <w:tcPr>
            <w:tcW w:type="dxa" w:w="2541"/>
            <w:tcMar>
              <w:top w:w="80" w:type="dxa"/>
              <w:start w:w="100" w:type="dxa"/>
              <w:bottom w:w="80" w:type="dxa"/>
              <w:end w:w="100" w:type="dxa"/>
            </w:tcMar>
            <w:vAlign w:val="top"/>
          </w:tcPr>
          <w:p>
            <w:r>
              <w:rPr>
                <w:sz w:val="16"/>
              </w:rPr>
              <w:t>DownAndInBarrier</w:t>
            </w:r>
          </w:p>
        </w:tc>
        <w:tc>
          <w:tcPr>
            <w:tcW w:type="dxa" w:w="2541"/>
            <w:tcMar>
              <w:top w:w="80" w:type="dxa"/>
              <w:start w:w="100" w:type="dxa"/>
              <w:bottom w:w="80" w:type="dxa"/>
              <w:end w:w="100" w:type="dxa"/>
            </w:tcMar>
            <w:vAlign w:val="top"/>
          </w:tcPr>
          <w:p>
            <w:r>
              <w:rPr>
                <w:sz w:val="16"/>
              </w:rPr>
              <w:t>160</w:t>
            </w:r>
          </w:p>
        </w:tc>
        <w:tc>
          <w:tcPr>
            <w:tcW w:type="dxa" w:w="2541"/>
            <w:tcMar>
              <w:top w:w="80" w:type="dxa"/>
              <w:start w:w="100" w:type="dxa"/>
              <w:bottom w:w="80" w:type="dxa"/>
              <w:end w:w="100" w:type="dxa"/>
            </w:tcMar>
            <w:vAlign w:val="top"/>
          </w:tcPr>
          <w:p>
            <w:r>
              <w:rPr>
                <w:sz w:val="16"/>
              </w:rPr>
              <w:t>80</w:t>
            </w:r>
          </w:p>
        </w:tc>
      </w:tr>
      <w:tr>
        <w:trPr>
          <w:cantSplit/>
        </w:trPr>
        <w:tc>
          <w:tcPr>
            <w:tcW w:type="dxa" w:w="2541"/>
            <w:tcMar>
              <w:top w:w="80" w:type="dxa"/>
              <w:start w:w="100" w:type="dxa"/>
              <w:bottom w:w="80" w:type="dxa"/>
              <w:end w:w="100" w:type="dxa"/>
            </w:tcMar>
            <w:vAlign w:val="top"/>
          </w:tcPr>
          <w:p>
            <w:r>
              <w:rPr>
                <w:sz w:val="16"/>
              </w:rPr>
              <w:t>UpAndIn</w:t>
            </w:r>
          </w:p>
        </w:tc>
        <w:tc>
          <w:tcPr>
            <w:tcW w:type="dxa" w:w="2541"/>
            <w:tcMar>
              <w:top w:w="80" w:type="dxa"/>
              <w:start w:w="100" w:type="dxa"/>
              <w:bottom w:w="80" w:type="dxa"/>
              <w:end w:w="100" w:type="dxa"/>
            </w:tcMar>
            <w:vAlign w:val="top"/>
          </w:tcPr>
          <w:p>
            <w:r>
              <w:rPr>
                <w:sz w:val="16"/>
              </w:rPr>
              <w:t>UpAndInBarrier</w:t>
            </w:r>
          </w:p>
        </w:tc>
        <w:tc>
          <w:tcPr>
            <w:tcW w:type="dxa" w:w="2541"/>
            <w:tcMar>
              <w:top w:w="80" w:type="dxa"/>
              <w:start w:w="100" w:type="dxa"/>
              <w:bottom w:w="80" w:type="dxa"/>
              <w:end w:w="100" w:type="dxa"/>
            </w:tcMar>
            <w:vAlign w:val="top"/>
          </w:tcPr>
          <w:p>
            <w:r>
              <w:rPr>
                <w:sz w:val="16"/>
              </w:rPr>
              <w:t>125</w:t>
            </w:r>
          </w:p>
        </w:tc>
        <w:tc>
          <w:tcPr>
            <w:tcW w:type="dxa" w:w="2541"/>
            <w:tcMar>
              <w:top w:w="80" w:type="dxa"/>
              <w:start w:w="100" w:type="dxa"/>
              <w:bottom w:w="80" w:type="dxa"/>
              <w:end w:w="100" w:type="dxa"/>
            </w:tcMar>
            <w:vAlign w:val="top"/>
          </w:tcPr>
          <w:p>
            <w:r>
              <w:rPr>
                <w:sz w:val="16"/>
              </w:rPr>
              <w:t>60</w:t>
            </w:r>
          </w:p>
        </w:tc>
      </w:tr>
      <w:tr>
        <w:trPr>
          <w:cantSplit/>
        </w:trPr>
        <w:tc>
          <w:tcPr>
            <w:tcW w:type="dxa" w:w="2541"/>
            <w:tcMar>
              <w:top w:w="80" w:type="dxa"/>
              <w:start w:w="100" w:type="dxa"/>
              <w:bottom w:w="80" w:type="dxa"/>
              <w:end w:w="100" w:type="dxa"/>
            </w:tcMar>
            <w:vAlign w:val="top"/>
          </w:tcPr>
          <w:p>
            <w:r>
              <w:rPr>
                <w:sz w:val="16"/>
              </w:rPr>
              <w:t>DownAndOut</w:t>
            </w:r>
          </w:p>
        </w:tc>
        <w:tc>
          <w:tcPr>
            <w:tcW w:type="dxa" w:w="2541"/>
            <w:tcMar>
              <w:top w:w="80" w:type="dxa"/>
              <w:start w:w="100" w:type="dxa"/>
              <w:bottom w:w="80" w:type="dxa"/>
              <w:end w:w="100" w:type="dxa"/>
            </w:tcMar>
            <w:vAlign w:val="top"/>
          </w:tcPr>
          <w:p>
            <w:r>
              <w:rPr>
                <w:sz w:val="16"/>
              </w:rPr>
              <w:t>DownAndOutBarrier</w:t>
            </w:r>
          </w:p>
        </w:tc>
        <w:tc>
          <w:tcPr>
            <w:tcW w:type="dxa" w:w="2541"/>
            <w:tcMar>
              <w:top w:w="80" w:type="dxa"/>
              <w:start w:w="100" w:type="dxa"/>
              <w:bottom w:w="80" w:type="dxa"/>
              <w:end w:w="100" w:type="dxa"/>
            </w:tcMar>
            <w:vAlign w:val="top"/>
          </w:tcPr>
          <w:p>
            <w:r>
              <w:rPr>
                <w:sz w:val="16"/>
              </w:rPr>
              <w:t>160</w:t>
            </w:r>
          </w:p>
        </w:tc>
        <w:tc>
          <w:tcPr>
            <w:tcW w:type="dxa" w:w="2541"/>
            <w:tcMar>
              <w:top w:w="80" w:type="dxa"/>
              <w:start w:w="100" w:type="dxa"/>
              <w:bottom w:w="80" w:type="dxa"/>
              <w:end w:w="100" w:type="dxa"/>
            </w:tcMar>
            <w:vAlign w:val="top"/>
          </w:tcPr>
          <w:p>
            <w:r>
              <w:rPr>
                <w:sz w:val="16"/>
              </w:rPr>
              <w:t>80</w:t>
            </w:r>
          </w:p>
        </w:tc>
      </w:tr>
      <w:tr>
        <w:trPr>
          <w:cantSplit/>
        </w:trPr>
        <w:tc>
          <w:tcPr>
            <w:tcW w:type="dxa" w:w="2541"/>
            <w:tcMar>
              <w:top w:w="80" w:type="dxa"/>
              <w:start w:w="100" w:type="dxa"/>
              <w:bottom w:w="80" w:type="dxa"/>
              <w:end w:w="100" w:type="dxa"/>
            </w:tcMar>
            <w:vAlign w:val="top"/>
          </w:tcPr>
          <w:p>
            <w:r>
              <w:rPr>
                <w:sz w:val="16"/>
              </w:rPr>
              <w:t>UpAndOut</w:t>
            </w:r>
          </w:p>
        </w:tc>
        <w:tc>
          <w:tcPr>
            <w:tcW w:type="dxa" w:w="2541"/>
            <w:tcMar>
              <w:top w:w="80" w:type="dxa"/>
              <w:start w:w="100" w:type="dxa"/>
              <w:bottom w:w="80" w:type="dxa"/>
              <w:end w:w="100" w:type="dxa"/>
            </w:tcMar>
            <w:vAlign w:val="top"/>
          </w:tcPr>
          <w:p>
            <w:r>
              <w:rPr>
                <w:sz w:val="16"/>
              </w:rPr>
              <w:t>UpAndOutBarrier</w:t>
            </w:r>
          </w:p>
        </w:tc>
        <w:tc>
          <w:tcPr>
            <w:tcW w:type="dxa" w:w="2541"/>
            <w:tcMar>
              <w:top w:w="80" w:type="dxa"/>
              <w:start w:w="100" w:type="dxa"/>
              <w:bottom w:w="80" w:type="dxa"/>
              <w:end w:w="100" w:type="dxa"/>
            </w:tcMar>
            <w:vAlign w:val="top"/>
          </w:tcPr>
          <w:p>
            <w:r>
              <w:rPr>
                <w:sz w:val="16"/>
              </w:rPr>
              <w:t>125</w:t>
            </w:r>
          </w:p>
        </w:tc>
        <w:tc>
          <w:tcPr>
            <w:tcW w:type="dxa" w:w="2541"/>
            <w:tcMar>
              <w:top w:w="80" w:type="dxa"/>
              <w:start w:w="100" w:type="dxa"/>
              <w:bottom w:w="80" w:type="dxa"/>
              <w:end w:w="100" w:type="dxa"/>
            </w:tcMar>
            <w:vAlign w:val="top"/>
          </w:tcPr>
          <w:p>
            <w:r>
              <w:rPr>
                <w:sz w:val="16"/>
              </w:rPr>
              <w:t>60</w:t>
            </w:r>
          </w:p>
        </w:tc>
      </w:tr>
      <w:tr>
        <w:trPr>
          <w:cantSplit/>
        </w:trPr>
        <w:tc>
          <w:tcPr>
            <w:tcW w:type="dxa" w:w="2541"/>
            <w:tcMar>
              <w:top w:w="80" w:type="dxa"/>
              <w:start w:w="100" w:type="dxa"/>
              <w:bottom w:w="80" w:type="dxa"/>
              <w:end w:w="100" w:type="dxa"/>
            </w:tcMar>
            <w:vAlign w:val="top"/>
          </w:tcPr>
          <w:p>
            <w:r>
              <w:rPr>
                <w:sz w:val="16"/>
              </w:rPr>
              <w:t>UpKI/DownKO</w:t>
            </w:r>
          </w:p>
        </w:tc>
        <w:tc>
          <w:tcPr>
            <w:tcW w:type="dxa" w:w="2541"/>
            <w:tcMar>
              <w:top w:w="80" w:type="dxa"/>
              <w:start w:w="100" w:type="dxa"/>
              <w:bottom w:w="80" w:type="dxa"/>
              <w:end w:w="100" w:type="dxa"/>
            </w:tcMar>
            <w:vAlign w:val="top"/>
          </w:tcPr>
          <w:p>
            <w:r>
              <w:rPr>
                <w:sz w:val="16"/>
              </w:rPr>
              <w:t>UpKnockInDownKnockOutBarrier</w:t>
            </w:r>
          </w:p>
        </w:tc>
        <w:tc>
          <w:tcPr>
            <w:tcW w:type="dxa" w:w="2541"/>
            <w:tcMar>
              <w:top w:w="80" w:type="dxa"/>
              <w:start w:w="100" w:type="dxa"/>
              <w:bottom w:w="80" w:type="dxa"/>
              <w:end w:w="100" w:type="dxa"/>
            </w:tcMar>
            <w:vAlign w:val="top"/>
          </w:tcPr>
          <w:p>
            <w:r>
              <w:rPr>
                <w:sz w:val="16"/>
              </w:rPr>
              <w:t>125</w:t>
            </w:r>
          </w:p>
        </w:tc>
        <w:tc>
          <w:tcPr>
            <w:tcW w:type="dxa" w:w="2541"/>
            <w:tcMar>
              <w:top w:w="80" w:type="dxa"/>
              <w:start w:w="100" w:type="dxa"/>
              <w:bottom w:w="80" w:type="dxa"/>
              <w:end w:w="100" w:type="dxa"/>
            </w:tcMar>
            <w:vAlign w:val="top"/>
          </w:tcPr>
          <w:p>
            <w:r>
              <w:rPr>
                <w:sz w:val="16"/>
              </w:rPr>
              <w:t>60</w:t>
            </w:r>
          </w:p>
        </w:tc>
      </w:tr>
      <w:tr>
        <w:trPr>
          <w:cantSplit/>
        </w:trPr>
        <w:tc>
          <w:tcPr>
            <w:tcW w:type="dxa" w:w="2541"/>
            <w:tcMar>
              <w:top w:w="80" w:type="dxa"/>
              <w:start w:w="100" w:type="dxa"/>
              <w:bottom w:w="80" w:type="dxa"/>
              <w:end w:w="100" w:type="dxa"/>
            </w:tcMar>
            <w:vAlign w:val="top"/>
          </w:tcPr>
          <w:p>
            <w:r>
              <w:rPr>
                <w:sz w:val="16"/>
              </w:rPr>
              <w:t>UpKO/DownKI</w:t>
            </w:r>
          </w:p>
        </w:tc>
        <w:tc>
          <w:tcPr>
            <w:tcW w:type="dxa" w:w="2541"/>
            <w:tcMar>
              <w:top w:w="80" w:type="dxa"/>
              <w:start w:w="100" w:type="dxa"/>
              <w:bottom w:w="80" w:type="dxa"/>
              <w:end w:w="100" w:type="dxa"/>
            </w:tcMar>
            <w:vAlign w:val="top"/>
          </w:tcPr>
          <w:p>
            <w:r>
              <w:rPr>
                <w:sz w:val="16"/>
              </w:rPr>
              <w:t>UpKnockOutDownKnockInBarrier</w:t>
            </w:r>
          </w:p>
        </w:tc>
        <w:tc>
          <w:tcPr>
            <w:tcW w:type="dxa" w:w="2541"/>
            <w:tcMar>
              <w:top w:w="80" w:type="dxa"/>
              <w:start w:w="100" w:type="dxa"/>
              <w:bottom w:w="80" w:type="dxa"/>
              <w:end w:w="100" w:type="dxa"/>
            </w:tcMar>
            <w:vAlign w:val="top"/>
          </w:tcPr>
          <w:p>
            <w:r>
              <w:rPr>
                <w:sz w:val="16"/>
              </w:rPr>
              <w:t>125</w:t>
            </w:r>
          </w:p>
        </w:tc>
        <w:tc>
          <w:tcPr>
            <w:tcW w:type="dxa" w:w="2541"/>
            <w:tcMar>
              <w:top w:w="80" w:type="dxa"/>
              <w:start w:w="100" w:type="dxa"/>
              <w:bottom w:w="80" w:type="dxa"/>
              <w:end w:w="100" w:type="dxa"/>
            </w:tcMar>
            <w:vAlign w:val="top"/>
          </w:tcPr>
          <w:p>
            <w:r>
              <w:rPr>
                <w:sz w:val="16"/>
              </w:rPr>
              <w:t>80</w:t>
            </w:r>
          </w:p>
        </w:tc>
      </w:tr>
    </w:tbl>
    <w:p>
      <w:pPr>
        <w:spacing w:after="40"/>
      </w:pPr>
    </w:p>
    <w:p>
      <w:pPr>
        <w:spacing w:after="120"/>
      </w:pPr>
      <w:r>
        <w:t>Static cases use M=8 and N=20,000 by default; barrier cases use M=50 and N=30,000. Each sampled estimate is compared with a plain estimate using a three-standard-error tolerance. The configuration-echo test confirms that the requested method is visible in the response.</w:t>
      </w:r>
    </w:p>
    <w:p>
      <w:pPr>
        <w:pStyle w:val="Heading1"/>
        <w:keepNext/>
      </w:pPr>
      <w:r>
        <w:t>39. Native American and Bermudan lookbacks with nested barriers</w:t>
      </w:r>
    </w:p>
    <w:p>
      <w:pPr>
        <w:spacing w:after="120"/>
      </w:pPr>
      <w:r>
        <w:t>Native lookback exercise classes encode the lookback structure directly while still accepting a requested lookback name for compatibility. The benchmark nests these classes with a double knock-out barrier in both wrapper orders and optionally activates stock jumps and stochastic models.</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Exercise class</w:t>
            </w:r>
          </w:p>
        </w:tc>
        <w:tc>
          <w:tcPr>
            <w:tcW w:type="dxa" w:w="3389"/>
            <w:shd w:fill="1F4E78"/>
            <w:vAlign w:val="center"/>
            <w:tcMar>
              <w:top w:w="80" w:type="dxa"/>
              <w:start w:w="100" w:type="dxa"/>
              <w:bottom w:w="80" w:type="dxa"/>
              <w:end w:w="100" w:type="dxa"/>
            </w:tcMar>
          </w:tcPr>
          <w:p>
            <w:r>
              <w:rPr>
                <w:b/>
                <w:color w:val="FFFFFF"/>
                <w:sz w:val="16"/>
              </w:rPr>
              <w:t>Lookback type</w:t>
            </w:r>
          </w:p>
        </w:tc>
        <w:tc>
          <w:tcPr>
            <w:tcW w:type="dxa" w:w="3389"/>
            <w:shd w:fill="1F4E78"/>
            <w:vAlign w:val="center"/>
            <w:tcMar>
              <w:top w:w="80" w:type="dxa"/>
              <w:start w:w="100" w:type="dxa"/>
              <w:bottom w:w="80" w:type="dxa"/>
              <w:end w:w="100" w:type="dxa"/>
            </w:tcMar>
          </w:tcPr>
          <w:p>
            <w:r>
              <w:rPr>
                <w:b/>
                <w:color w:val="FFFFFF"/>
                <w:sz w:val="16"/>
              </w:rPr>
              <w:t>Exercise points</w:t>
            </w:r>
          </w:p>
        </w:tc>
      </w:tr>
      <w:tr>
        <w:trPr>
          <w:cantSplit/>
        </w:trPr>
        <w:tc>
          <w:tcPr>
            <w:tcW w:type="dxa" w:w="3389"/>
            <w:tcMar>
              <w:top w:w="80" w:type="dxa"/>
              <w:start w:w="100" w:type="dxa"/>
              <w:bottom w:w="80" w:type="dxa"/>
              <w:end w:w="100" w:type="dxa"/>
            </w:tcMar>
            <w:vAlign w:val="top"/>
          </w:tcPr>
          <w:p>
            <w:r>
              <w:rPr>
                <w:sz w:val="16"/>
              </w:rPr>
              <w:t>LookBackAmericanOptionFixedStrike</w:t>
            </w:r>
          </w:p>
        </w:tc>
        <w:tc>
          <w:tcPr>
            <w:tcW w:type="dxa" w:w="3389"/>
            <w:tcMar>
              <w:top w:w="80" w:type="dxa"/>
              <w:start w:w="100" w:type="dxa"/>
              <w:bottom w:w="80" w:type="dxa"/>
              <w:end w:w="100" w:type="dxa"/>
            </w:tcMar>
            <w:vAlign w:val="top"/>
          </w:tcPr>
          <w:p>
            <w:r>
              <w:rPr>
                <w:sz w:val="16"/>
              </w:rPr>
              <w:t>LookbacksFixedStrike</w:t>
            </w:r>
          </w:p>
        </w:tc>
        <w:tc>
          <w:tcPr>
            <w:tcW w:type="dxa" w:w="3389"/>
            <w:tcMar>
              <w:top w:w="80" w:type="dxa"/>
              <w:start w:w="100" w:type="dxa"/>
              <w:bottom w:w="80" w:type="dxa"/>
              <w:end w:w="100" w:type="dxa"/>
            </w:tcMar>
            <w:vAlign w:val="top"/>
          </w:tcPr>
          <w:p>
            <w:r>
              <w:rPr>
                <w:sz w:val="16"/>
              </w:rPr>
              <w:t>M</w:t>
            </w:r>
          </w:p>
        </w:tc>
      </w:tr>
      <w:tr>
        <w:trPr>
          <w:cantSplit/>
        </w:trPr>
        <w:tc>
          <w:tcPr>
            <w:tcW w:type="dxa" w:w="3389"/>
            <w:tcMar>
              <w:top w:w="80" w:type="dxa"/>
              <w:start w:w="100" w:type="dxa"/>
              <w:bottom w:w="80" w:type="dxa"/>
              <w:end w:w="100" w:type="dxa"/>
            </w:tcMar>
            <w:vAlign w:val="top"/>
          </w:tcPr>
          <w:p>
            <w:r>
              <w:rPr>
                <w:sz w:val="16"/>
              </w:rPr>
              <w:t>LookBackAmericanOptionFloatingStrike</w:t>
            </w:r>
          </w:p>
        </w:tc>
        <w:tc>
          <w:tcPr>
            <w:tcW w:type="dxa" w:w="3389"/>
            <w:tcMar>
              <w:top w:w="80" w:type="dxa"/>
              <w:start w:w="100" w:type="dxa"/>
              <w:bottom w:w="80" w:type="dxa"/>
              <w:end w:w="100" w:type="dxa"/>
            </w:tcMar>
            <w:vAlign w:val="top"/>
          </w:tcPr>
          <w:p>
            <w:r>
              <w:rPr>
                <w:sz w:val="16"/>
              </w:rPr>
              <w:t>LookbacksFloatingStrike</w:t>
            </w:r>
          </w:p>
        </w:tc>
        <w:tc>
          <w:tcPr>
            <w:tcW w:type="dxa" w:w="3389"/>
            <w:tcMar>
              <w:top w:w="80" w:type="dxa"/>
              <w:start w:w="100" w:type="dxa"/>
              <w:bottom w:w="80" w:type="dxa"/>
              <w:end w:w="100" w:type="dxa"/>
            </w:tcMar>
            <w:vAlign w:val="top"/>
          </w:tcPr>
          <w:p>
            <w:r>
              <w:rPr>
                <w:sz w:val="16"/>
              </w:rPr>
              <w:t>M</w:t>
            </w:r>
          </w:p>
        </w:tc>
      </w:tr>
      <w:tr>
        <w:trPr>
          <w:cantSplit/>
        </w:trPr>
        <w:tc>
          <w:tcPr>
            <w:tcW w:type="dxa" w:w="3389"/>
            <w:tcMar>
              <w:top w:w="80" w:type="dxa"/>
              <w:start w:w="100" w:type="dxa"/>
              <w:bottom w:w="80" w:type="dxa"/>
              <w:end w:w="100" w:type="dxa"/>
            </w:tcMar>
            <w:vAlign w:val="top"/>
          </w:tcPr>
          <w:p>
            <w:r>
              <w:rPr>
                <w:sz w:val="16"/>
              </w:rPr>
              <w:t>LookbackBermudaOptionFixedStrike</w:t>
            </w:r>
          </w:p>
        </w:tc>
        <w:tc>
          <w:tcPr>
            <w:tcW w:type="dxa" w:w="3389"/>
            <w:tcMar>
              <w:top w:w="80" w:type="dxa"/>
              <w:start w:w="100" w:type="dxa"/>
              <w:bottom w:w="80" w:type="dxa"/>
              <w:end w:w="100" w:type="dxa"/>
            </w:tcMar>
            <w:vAlign w:val="top"/>
          </w:tcPr>
          <w:p>
            <w:r>
              <w:rPr>
                <w:sz w:val="16"/>
              </w:rPr>
              <w:t>LookbacksFixedStrike</w:t>
            </w:r>
          </w:p>
        </w:tc>
        <w:tc>
          <w:tcPr>
            <w:tcW w:type="dxa" w:w="3389"/>
            <w:tcMar>
              <w:top w:w="80" w:type="dxa"/>
              <w:start w:w="100" w:type="dxa"/>
              <w:bottom w:w="80" w:type="dxa"/>
              <w:end w:w="100" w:type="dxa"/>
            </w:tcMar>
            <w:vAlign w:val="top"/>
          </w:tcPr>
          <w:p>
            <w:r>
              <w:rPr>
                <w:sz w:val="16"/>
              </w:rPr>
              <w:t>min(12,M)</w:t>
            </w:r>
          </w:p>
        </w:tc>
      </w:tr>
      <w:tr>
        <w:trPr>
          <w:cantSplit/>
        </w:trPr>
        <w:tc>
          <w:tcPr>
            <w:tcW w:type="dxa" w:w="3389"/>
            <w:tcMar>
              <w:top w:w="80" w:type="dxa"/>
              <w:start w:w="100" w:type="dxa"/>
              <w:bottom w:w="80" w:type="dxa"/>
              <w:end w:w="100" w:type="dxa"/>
            </w:tcMar>
            <w:vAlign w:val="top"/>
          </w:tcPr>
          <w:p>
            <w:r>
              <w:rPr>
                <w:sz w:val="16"/>
              </w:rPr>
              <w:t>LookbackBermudaOptionFloatingStrike</w:t>
            </w:r>
          </w:p>
        </w:tc>
        <w:tc>
          <w:tcPr>
            <w:tcW w:type="dxa" w:w="3389"/>
            <w:tcMar>
              <w:top w:w="80" w:type="dxa"/>
              <w:start w:w="100" w:type="dxa"/>
              <w:bottom w:w="80" w:type="dxa"/>
              <w:end w:w="100" w:type="dxa"/>
            </w:tcMar>
            <w:vAlign w:val="top"/>
          </w:tcPr>
          <w:p>
            <w:r>
              <w:rPr>
                <w:sz w:val="16"/>
              </w:rPr>
              <w:t>LookbacksFloatingStrike</w:t>
            </w:r>
          </w:p>
        </w:tc>
        <w:tc>
          <w:tcPr>
            <w:tcW w:type="dxa" w:w="3389"/>
            <w:tcMar>
              <w:top w:w="80" w:type="dxa"/>
              <w:start w:w="100" w:type="dxa"/>
              <w:bottom w:w="80" w:type="dxa"/>
              <w:end w:w="100" w:type="dxa"/>
            </w:tcMar>
            <w:vAlign w:val="top"/>
          </w:tcPr>
          <w:p>
            <w:r>
              <w:rPr>
                <w:sz w:val="16"/>
              </w:rPr>
              <w:t>min(12,M)</w:t>
            </w:r>
          </w:p>
        </w:tc>
      </w:tr>
    </w:tbl>
    <w:p>
      <w:pPr>
        <w:spacing w:after="40"/>
      </w:pPr>
    </w:p>
    <w:p>
      <w:pPr>
        <w:pStyle w:val="Heading2"/>
        <w:keepNext/>
      </w:pPr>
      <w:r>
        <w:t>39.1 Nested request</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w:t>
              <w:br/>
              <w:t xml:space="preserve">  "exercise": "LookbackBermudaOptionFloatingStrike",</w:t>
              <w:br/>
              <w:t xml:space="preserve">  "option_type": "Put",</w:t>
              <w:br/>
              <w:t xml:space="preserve">  "underlying": "PathIndependentOption",</w:t>
              <w:br/>
              <w:t xml:space="preserve">  "wrapper_order": "Barrier on Lookback on underlying",</w:t>
              <w:br/>
              <w:t xml:space="preserve">  "lookback": "LookbacksFloatingStrike",</w:t>
              <w:br/>
              <w:t xml:space="preserve">  "barrier": "DoubleKnockOutBarrier",</w:t>
              <w:br/>
              <w:t xml:space="preserve">  "up_barrier": 120.0,</w:t>
              <w:br/>
              <w:t xml:space="preserve">  "down_barrier": 85.0,</w:t>
              <w:br/>
              <w:t xml:space="preserve">  "rebate_in": 1.0,</w:t>
              <w:br/>
              <w:t xml:space="preserve">  "rebate_out": 0.0,</w:t>
              <w:br/>
              <w:t xml:space="preserve">  "S0": 100.0, "K": 100.0,</w:t>
              <w:br/>
              <w:t xml:space="preserve">  "r": 0.05, "sigma": 0.20, "y": 0.0, "T": 1.0,</w:t>
              <w:br/>
              <w:t xml:space="preserve">  "M": 50, "N": 5000, "seed": 0,</w:t>
              <w:br/>
              <w:t xml:space="preserve">  "regression_degree": 3,</w:t>
              <w:br/>
              <w:t xml:space="preserve">  "num_exercise_points": 12,</w:t>
              <w:br/>
              <w:t xml:space="preserve">  "muJ": 0.0, "sigmaJ": 0.10,</w:t>
              <w:br/>
              <w:t xml:space="preserve">  "Lambda": 0.0, "jumps": false</w:t>
              <w:br/>
              <w:t>}</w:t>
            </w:r>
          </w:p>
        </w:tc>
      </w:tr>
    </w:tbl>
    <w:p>
      <w:pPr>
        <w:spacing w:after="20"/>
      </w:pPr>
    </w:p>
    <w:p>
      <w:pPr>
        <w:pStyle w:val="ListBullet"/>
        <w:spacing w:after="40"/>
      </w:pPr>
      <w:r>
        <w:t>Run both Barrier on Lookback and Lookback on Barrier orders.</w:t>
      </w:r>
    </w:p>
    <w:p>
      <w:pPr>
        <w:pStyle w:val="ListBullet"/>
        <w:spacing w:after="40"/>
      </w:pPr>
      <w:r>
        <w:t>Require finite, nonnegative standard-error outputs for all four native exercise classes.</w:t>
      </w:r>
    </w:p>
    <w:p>
      <w:pPr>
        <w:pStyle w:val="ListBullet"/>
        <w:spacing w:after="40"/>
      </w:pPr>
      <w:r>
        <w:t>For floating-strike call cases, verify that the two wrapper orders are materially distinct.</w:t>
      </w:r>
    </w:p>
    <w:p>
      <w:pPr>
        <w:pStyle w:val="ListBullet"/>
        <w:spacing w:after="40"/>
      </w:pPr>
      <w:r>
        <w:t>Inspect wrapper_order_requested and lookback_requested because the native class may normalise the effective wrapper internally.</w:t>
      </w:r>
    </w:p>
    <w:p>
      <w:pPr>
        <w:pStyle w:val="ListBullet"/>
        <w:spacing w:after="40"/>
      </w:pPr>
      <w:r>
        <w:t>Run selected nested products under Heston, CIR and stochastic-dividend configurations to validate multi-factor wiring.</w:t>
      </w:r>
    </w:p>
    <w:p>
      <w:pPr>
        <w:pStyle w:val="Heading1"/>
        <w:keepNext/>
      </w:pPr>
      <w:r>
        <w:t>40. Advanced LSM with jumps and model families</w:t>
      </w:r>
    </w:p>
    <w:p>
      <w:pPr>
        <w:spacing w:after="120"/>
      </w:pPr>
      <w:r>
        <w:t>The final benchmark combines early exercise, stock jumps, native lookbacks, stochastic factor models and alternative simulation families. Its purpose is broad API compatibility rather than one analytical price target.</w:t>
      </w:r>
    </w:p>
    <w:p>
      <w:pPr>
        <w:pStyle w:val="Heading2"/>
        <w:keepNext/>
      </w:pPr>
      <w:r>
        <w:t>40.1 Exercise-ordering checks under jumps</w:t>
      </w:r>
    </w:p>
    <w:p>
      <w:pPr>
        <w:spacing w:after="120"/>
      </w:pPr>
      <w:r>
        <w:t>For a put with jump intensity Lambda=0.50, the expected ordering is European &lt;= Bermudan &lt;= American within combined Monte Carlo tolerances. The Bermudan uses min(12,M) exercise dates and the American uses M dates. For a non-dividend-paying call, the American and European values should agree within uncertainty even when jumps are active.</w:t>
      </w:r>
    </w:p>
    <w:p>
      <w:pPr>
        <w:pStyle w:val="Heading2"/>
        <w:keepNext/>
      </w:pPr>
      <w:r>
        <w:t>40.2 Native lookback ordering</w:t>
      </w:r>
    </w:p>
    <w:p>
      <w:pPr>
        <w:spacing w:after="120"/>
      </w:pPr>
      <w:r>
        <w:t>Fixed- and floating-strike lookback calls and puts are priced with both American and Bermudan native classes. The American value should not be materially below the Bermudan value when it has at least as many exercise opportunities.</w:t>
      </w:r>
    </w:p>
    <w:p>
      <w:pPr>
        <w:pStyle w:val="Heading2"/>
        <w:keepNext/>
      </w:pPr>
      <w:r>
        <w:t>40.3 Model-family coverage</w:t>
      </w:r>
    </w:p>
    <w:tbl>
      <w:tblPr>
        <w:tblStyle w:val="TableGrid"/>
        <w:tblW w:type="auto" w:w="0"/>
        <w:jc w:val="center"/>
        <w:tblLook w:firstColumn="1" w:firstRow="1" w:lastColumn="0" w:lastRow="0" w:noHBand="0" w:noVBand="1" w:val="04A0"/>
      </w:tblPr>
      <w:tblGrid>
        <w:gridCol w:w="5083"/>
        <w:gridCol w:w="5083"/>
      </w:tblGrid>
      <w:tr>
        <w:tc>
          <w:tcPr>
            <w:tcW w:type="dxa" w:w="5083"/>
            <w:shd w:fill="1F4E78"/>
            <w:vAlign w:val="center"/>
            <w:tcMar>
              <w:top w:w="80" w:type="dxa"/>
              <w:start w:w="100" w:type="dxa"/>
              <w:bottom w:w="80" w:type="dxa"/>
              <w:end w:w="100" w:type="dxa"/>
            </w:tcMar>
          </w:tcPr>
          <w:p>
            <w:r>
              <w:rPr>
                <w:b/>
                <w:color w:val="FFFFFF"/>
                <w:sz w:val="16"/>
              </w:rPr>
              <w:t>Family selector tested</w:t>
            </w:r>
          </w:p>
        </w:tc>
        <w:tc>
          <w:tcPr>
            <w:tcW w:type="dxa" w:w="5083"/>
            <w:shd w:fill="1F4E78"/>
            <w:vAlign w:val="center"/>
            <w:tcMar>
              <w:top w:w="80" w:type="dxa"/>
              <w:start w:w="100" w:type="dxa"/>
              <w:bottom w:w="80" w:type="dxa"/>
              <w:end w:w="100" w:type="dxa"/>
            </w:tcMar>
          </w:tcPr>
          <w:p>
            <w:r>
              <w:rPr>
                <w:b/>
                <w:color w:val="FFFFFF"/>
                <w:sz w:val="16"/>
              </w:rPr>
              <w:t>API fields involved</w:t>
            </w:r>
          </w:p>
        </w:tc>
      </w:tr>
      <w:tr>
        <w:trPr>
          <w:cantSplit/>
        </w:trPr>
        <w:tc>
          <w:tcPr>
            <w:tcW w:type="dxa" w:w="5083"/>
            <w:tcMar>
              <w:top w:w="80" w:type="dxa"/>
              <w:start w:w="100" w:type="dxa"/>
              <w:bottom w:w="80" w:type="dxa"/>
              <w:end w:w="100" w:type="dxa"/>
            </w:tcMar>
            <w:vAlign w:val="top"/>
          </w:tcPr>
          <w:p>
            <w:r>
              <w:rPr>
                <w:sz w:val="16"/>
              </w:rPr>
              <w:t>HoLee</w:t>
            </w:r>
          </w:p>
        </w:tc>
        <w:tc>
          <w:tcPr>
            <w:tcW w:type="dxa" w:w="5083"/>
            <w:tcMar>
              <w:top w:w="80" w:type="dxa"/>
              <w:start w:w="100" w:type="dxa"/>
              <w:bottom w:w="80" w:type="dxa"/>
              <w:end w:w="100" w:type="dxa"/>
            </w:tcMar>
            <w:vAlign w:val="top"/>
          </w:tcPr>
          <w:p>
            <w:r>
              <w:rPr>
                <w:sz w:val="16"/>
              </w:rPr>
              <w:t>rate_model="HoLee" and rate vectors</w:t>
            </w:r>
          </w:p>
        </w:tc>
      </w:tr>
      <w:tr>
        <w:trPr>
          <w:cantSplit/>
        </w:trPr>
        <w:tc>
          <w:tcPr>
            <w:tcW w:type="dxa" w:w="5083"/>
            <w:tcMar>
              <w:top w:w="80" w:type="dxa"/>
              <w:start w:w="100" w:type="dxa"/>
              <w:bottom w:w="80" w:type="dxa"/>
              <w:end w:w="100" w:type="dxa"/>
            </w:tcMar>
            <w:vAlign w:val="top"/>
          </w:tcPr>
          <w:p>
            <w:r>
              <w:rPr>
                <w:sz w:val="16"/>
              </w:rPr>
              <w:t>Vasicek</w:t>
            </w:r>
          </w:p>
        </w:tc>
        <w:tc>
          <w:tcPr>
            <w:tcW w:type="dxa" w:w="5083"/>
            <w:tcMar>
              <w:top w:w="80" w:type="dxa"/>
              <w:start w:w="100" w:type="dxa"/>
              <w:bottom w:w="80" w:type="dxa"/>
              <w:end w:w="100" w:type="dxa"/>
            </w:tcMar>
            <w:vAlign w:val="top"/>
          </w:tcPr>
          <w:p>
            <w:r>
              <w:rPr>
                <w:sz w:val="16"/>
              </w:rPr>
              <w:t>rate_model="Vasicek"</w:t>
            </w:r>
          </w:p>
        </w:tc>
      </w:tr>
      <w:tr>
        <w:trPr>
          <w:cantSplit/>
        </w:trPr>
        <w:tc>
          <w:tcPr>
            <w:tcW w:type="dxa" w:w="5083"/>
            <w:tcMar>
              <w:top w:w="80" w:type="dxa"/>
              <w:start w:w="100" w:type="dxa"/>
              <w:bottom w:w="80" w:type="dxa"/>
              <w:end w:w="100" w:type="dxa"/>
            </w:tcMar>
            <w:vAlign w:val="top"/>
          </w:tcPr>
          <w:p>
            <w:r>
              <w:rPr>
                <w:sz w:val="16"/>
              </w:rPr>
              <w:t>CIR</w:t>
            </w:r>
          </w:p>
        </w:tc>
        <w:tc>
          <w:tcPr>
            <w:tcW w:type="dxa" w:w="5083"/>
            <w:tcMar>
              <w:top w:w="80" w:type="dxa"/>
              <w:start w:w="100" w:type="dxa"/>
              <w:bottom w:w="80" w:type="dxa"/>
              <w:end w:w="100" w:type="dxa"/>
            </w:tcMar>
            <w:vAlign w:val="top"/>
          </w:tcPr>
          <w:p>
            <w:r>
              <w:rPr>
                <w:sz w:val="16"/>
              </w:rPr>
              <w:t>rate_model="CIR"</w:t>
            </w:r>
          </w:p>
        </w:tc>
      </w:tr>
      <w:tr>
        <w:trPr>
          <w:cantSplit/>
        </w:trPr>
        <w:tc>
          <w:tcPr>
            <w:tcW w:type="dxa" w:w="5083"/>
            <w:tcMar>
              <w:top w:w="80" w:type="dxa"/>
              <w:start w:w="100" w:type="dxa"/>
              <w:bottom w:w="80" w:type="dxa"/>
              <w:end w:w="100" w:type="dxa"/>
            </w:tcMar>
            <w:vAlign w:val="top"/>
          </w:tcPr>
          <w:p>
            <w:r>
              <w:rPr>
                <w:sz w:val="16"/>
              </w:rPr>
              <w:t>ExtendedCIR</w:t>
            </w:r>
          </w:p>
        </w:tc>
        <w:tc>
          <w:tcPr>
            <w:tcW w:type="dxa" w:w="5083"/>
            <w:tcMar>
              <w:top w:w="80" w:type="dxa"/>
              <w:start w:w="100" w:type="dxa"/>
              <w:bottom w:w="80" w:type="dxa"/>
              <w:end w:w="100" w:type="dxa"/>
            </w:tcMar>
            <w:vAlign w:val="top"/>
          </w:tcPr>
          <w:p>
            <w:r>
              <w:rPr>
                <w:sz w:val="16"/>
              </w:rPr>
              <w:t>rate_model="ExtendedCIR"</w:t>
            </w:r>
          </w:p>
        </w:tc>
      </w:tr>
      <w:tr>
        <w:trPr>
          <w:cantSplit/>
        </w:trPr>
        <w:tc>
          <w:tcPr>
            <w:tcW w:type="dxa" w:w="5083"/>
            <w:tcMar>
              <w:top w:w="80" w:type="dxa"/>
              <w:start w:w="100" w:type="dxa"/>
              <w:bottom w:w="80" w:type="dxa"/>
              <w:end w:w="100" w:type="dxa"/>
            </w:tcMar>
            <w:vAlign w:val="top"/>
          </w:tcPr>
          <w:p>
            <w:r>
              <w:rPr>
                <w:sz w:val="16"/>
              </w:rPr>
              <w:t>Heston</w:t>
            </w:r>
          </w:p>
        </w:tc>
        <w:tc>
          <w:tcPr>
            <w:tcW w:type="dxa" w:w="5083"/>
            <w:tcMar>
              <w:top w:w="80" w:type="dxa"/>
              <w:start w:w="100" w:type="dxa"/>
              <w:bottom w:w="80" w:type="dxa"/>
              <w:end w:w="100" w:type="dxa"/>
            </w:tcMar>
            <w:vAlign w:val="top"/>
          </w:tcPr>
          <w:p>
            <w:r>
              <w:rPr>
                <w:sz w:val="16"/>
              </w:rPr>
              <w:t>volatility_model="Heston"</w:t>
            </w:r>
          </w:p>
        </w:tc>
      </w:tr>
      <w:tr>
        <w:trPr>
          <w:cantSplit/>
        </w:trPr>
        <w:tc>
          <w:tcPr>
            <w:tcW w:type="dxa" w:w="5083"/>
            <w:tcMar>
              <w:top w:w="80" w:type="dxa"/>
              <w:start w:w="100" w:type="dxa"/>
              <w:bottom w:w="80" w:type="dxa"/>
              <w:end w:w="100" w:type="dxa"/>
            </w:tcMar>
            <w:vAlign w:val="top"/>
          </w:tcPr>
          <w:p>
            <w:r>
              <w:rPr>
                <w:sz w:val="16"/>
              </w:rPr>
              <w:t>Bates</w:t>
            </w:r>
          </w:p>
        </w:tc>
        <w:tc>
          <w:tcPr>
            <w:tcW w:type="dxa" w:w="5083"/>
            <w:tcMar>
              <w:top w:w="80" w:type="dxa"/>
              <w:start w:w="100" w:type="dxa"/>
              <w:bottom w:w="80" w:type="dxa"/>
              <w:end w:w="100" w:type="dxa"/>
            </w:tcMar>
            <w:vAlign w:val="top"/>
          </w:tcPr>
          <w:p>
            <w:r>
              <w:rPr>
                <w:sz w:val="16"/>
              </w:rPr>
              <w:t>volatility_model="Bates" plus jump-volatility parameters</w:t>
            </w:r>
          </w:p>
        </w:tc>
      </w:tr>
      <w:tr>
        <w:trPr>
          <w:cantSplit/>
        </w:trPr>
        <w:tc>
          <w:tcPr>
            <w:tcW w:type="dxa" w:w="5083"/>
            <w:tcMar>
              <w:top w:w="80" w:type="dxa"/>
              <w:start w:w="100" w:type="dxa"/>
              <w:bottom w:w="80" w:type="dxa"/>
              <w:end w:w="100" w:type="dxa"/>
            </w:tcMar>
            <w:vAlign w:val="top"/>
          </w:tcPr>
          <w:p>
            <w:r>
              <w:rPr>
                <w:sz w:val="16"/>
              </w:rPr>
              <w:t>StochasticDividend</w:t>
            </w:r>
          </w:p>
        </w:tc>
        <w:tc>
          <w:tcPr>
            <w:tcW w:type="dxa" w:w="5083"/>
            <w:tcMar>
              <w:top w:w="80" w:type="dxa"/>
              <w:start w:w="100" w:type="dxa"/>
              <w:bottom w:w="80" w:type="dxa"/>
              <w:end w:w="100" w:type="dxa"/>
            </w:tcMar>
            <w:vAlign w:val="top"/>
          </w:tcPr>
          <w:p>
            <w:r>
              <w:rPr>
                <w:sz w:val="16"/>
              </w:rPr>
              <w:t>dividend_model="Stochastic"</w:t>
            </w:r>
          </w:p>
        </w:tc>
      </w:tr>
      <w:tr>
        <w:trPr>
          <w:cantSplit/>
        </w:trPr>
        <w:tc>
          <w:tcPr>
            <w:tcW w:type="dxa" w:w="5083"/>
            <w:tcMar>
              <w:top w:w="80" w:type="dxa"/>
              <w:start w:w="100" w:type="dxa"/>
              <w:bottom w:w="80" w:type="dxa"/>
              <w:end w:w="100" w:type="dxa"/>
            </w:tcMar>
            <w:vAlign w:val="top"/>
          </w:tcPr>
          <w:p>
            <w:r>
              <w:rPr>
                <w:sz w:val="16"/>
              </w:rPr>
              <w:t>StochasticSentiment</w:t>
            </w:r>
          </w:p>
        </w:tc>
        <w:tc>
          <w:tcPr>
            <w:tcW w:type="dxa" w:w="5083"/>
            <w:tcMar>
              <w:top w:w="80" w:type="dxa"/>
              <w:start w:w="100" w:type="dxa"/>
              <w:bottom w:w="80" w:type="dxa"/>
              <w:end w:w="100" w:type="dxa"/>
            </w:tcMar>
            <w:vAlign w:val="top"/>
          </w:tcPr>
          <w:p>
            <w:r>
              <w:rPr>
                <w:sz w:val="16"/>
              </w:rPr>
              <w:t>sentiment_model="Stochastic"</w:t>
            </w:r>
          </w:p>
        </w:tc>
      </w:tr>
      <w:tr>
        <w:trPr>
          <w:cantSplit/>
        </w:trPr>
        <w:tc>
          <w:tcPr>
            <w:tcW w:type="dxa" w:w="5083"/>
            <w:tcMar>
              <w:top w:w="80" w:type="dxa"/>
              <w:start w:w="100" w:type="dxa"/>
              <w:bottom w:w="80" w:type="dxa"/>
              <w:end w:w="100" w:type="dxa"/>
            </w:tcMar>
            <w:vAlign w:val="top"/>
          </w:tcPr>
          <w:p>
            <w:r>
              <w:rPr>
                <w:sz w:val="16"/>
              </w:rPr>
              <w:t>JumpSentiment</w:t>
            </w:r>
          </w:p>
        </w:tc>
        <w:tc>
          <w:tcPr>
            <w:tcW w:type="dxa" w:w="5083"/>
            <w:tcMar>
              <w:top w:w="80" w:type="dxa"/>
              <w:start w:w="100" w:type="dxa"/>
              <w:bottom w:w="80" w:type="dxa"/>
              <w:end w:w="100" w:type="dxa"/>
            </w:tcMar>
            <w:vAlign w:val="top"/>
          </w:tcPr>
          <w:p>
            <w:r>
              <w:rPr>
                <w:sz w:val="16"/>
              </w:rPr>
              <w:t>sentiment_model="Jump"</w:t>
            </w:r>
          </w:p>
        </w:tc>
      </w:tr>
      <w:tr>
        <w:trPr>
          <w:cantSplit/>
        </w:trPr>
        <w:tc>
          <w:tcPr>
            <w:tcW w:type="dxa" w:w="5083"/>
            <w:tcMar>
              <w:top w:w="80" w:type="dxa"/>
              <w:start w:w="100" w:type="dxa"/>
              <w:bottom w:w="80" w:type="dxa"/>
              <w:end w:w="100" w:type="dxa"/>
            </w:tcMar>
            <w:vAlign w:val="top"/>
          </w:tcPr>
          <w:p>
            <w:r>
              <w:rPr>
                <w:sz w:val="16"/>
              </w:rPr>
              <w:t>StochasticSentimentVol</w:t>
            </w:r>
          </w:p>
        </w:tc>
        <w:tc>
          <w:tcPr>
            <w:tcW w:type="dxa" w:w="5083"/>
            <w:tcMar>
              <w:top w:w="80" w:type="dxa"/>
              <w:start w:w="100" w:type="dxa"/>
              <w:bottom w:w="80" w:type="dxa"/>
              <w:end w:w="100" w:type="dxa"/>
            </w:tcMar>
            <w:vAlign w:val="top"/>
          </w:tcPr>
          <w:p>
            <w:r>
              <w:rPr>
                <w:sz w:val="16"/>
              </w:rPr>
              <w:t>sentiment_vol_model="Stochastic"</w:t>
            </w:r>
          </w:p>
        </w:tc>
      </w:tr>
      <w:tr>
        <w:trPr>
          <w:cantSplit/>
        </w:trPr>
        <w:tc>
          <w:tcPr>
            <w:tcW w:type="dxa" w:w="5083"/>
            <w:tcMar>
              <w:top w:w="80" w:type="dxa"/>
              <w:start w:w="100" w:type="dxa"/>
              <w:bottom w:w="80" w:type="dxa"/>
              <w:end w:w="100" w:type="dxa"/>
            </w:tcMar>
            <w:vAlign w:val="top"/>
          </w:tcPr>
          <w:p>
            <w:r>
              <w:rPr>
                <w:sz w:val="16"/>
              </w:rPr>
              <w:t>JumpSentimentVol</w:t>
            </w:r>
          </w:p>
        </w:tc>
        <w:tc>
          <w:tcPr>
            <w:tcW w:type="dxa" w:w="5083"/>
            <w:tcMar>
              <w:top w:w="80" w:type="dxa"/>
              <w:start w:w="100" w:type="dxa"/>
              <w:bottom w:w="80" w:type="dxa"/>
              <w:end w:w="100" w:type="dxa"/>
            </w:tcMar>
            <w:vAlign w:val="top"/>
          </w:tcPr>
          <w:p>
            <w:r>
              <w:rPr>
                <w:sz w:val="16"/>
              </w:rPr>
              <w:t>sentiment_vol_model="Jump"</w:t>
            </w:r>
          </w:p>
        </w:tc>
      </w:tr>
    </w:tbl>
    <w:p>
      <w:pPr>
        <w:spacing w:after="40"/>
      </w:pPr>
    </w:p>
    <w:p>
      <w:pPr>
        <w:pStyle w:val="Heading2"/>
        <w:keepNext/>
      </w:pPr>
      <w:r>
        <w:t>40.4 Simulation-family coverage</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Random generator</w:t>
            </w:r>
          </w:p>
        </w:tc>
        <w:tc>
          <w:tcPr>
            <w:tcW w:type="dxa" w:w="3389"/>
            <w:shd w:fill="1F4E78"/>
            <w:vAlign w:val="center"/>
            <w:tcMar>
              <w:top w:w="80" w:type="dxa"/>
              <w:start w:w="100" w:type="dxa"/>
              <w:bottom w:w="80" w:type="dxa"/>
              <w:end w:w="100" w:type="dxa"/>
            </w:tcMar>
          </w:tcPr>
          <w:p>
            <w:r>
              <w:rPr>
                <w:b/>
                <w:color w:val="FFFFFF"/>
                <w:sz w:val="16"/>
              </w:rPr>
              <w:t>Sampling</w:t>
            </w:r>
          </w:p>
        </w:tc>
        <w:tc>
          <w:tcPr>
            <w:tcW w:type="dxa" w:w="3389"/>
            <w:shd w:fill="1F4E78"/>
            <w:vAlign w:val="center"/>
            <w:tcMar>
              <w:top w:w="80" w:type="dxa"/>
              <w:start w:w="100" w:type="dxa"/>
              <w:bottom w:w="80" w:type="dxa"/>
              <w:end w:w="100" w:type="dxa"/>
            </w:tcMar>
          </w:tcPr>
          <w:p>
            <w:r>
              <w:rPr>
                <w:b/>
                <w:color w:val="FFFFFF"/>
                <w:sz w:val="16"/>
              </w:rPr>
              <w:t>Wiener</w:t>
            </w:r>
          </w:p>
        </w:tc>
      </w:tr>
      <w:tr>
        <w:trPr>
          <w:cantSplit/>
        </w:trPr>
        <w:tc>
          <w:tcPr>
            <w:tcW w:type="dxa" w:w="3389"/>
            <w:tcMar>
              <w:top w:w="80" w:type="dxa"/>
              <w:start w:w="100" w:type="dxa"/>
              <w:bottom w:w="80" w:type="dxa"/>
              <w:end w:w="100" w:type="dxa"/>
            </w:tcMar>
            <w:vAlign w:val="top"/>
          </w:tcPr>
          <w:p>
            <w:r>
              <w:rPr>
                <w:sz w:val="16"/>
              </w:rPr>
              <w:t>Standard</w:t>
            </w:r>
          </w:p>
        </w:tc>
        <w:tc>
          <w:tcPr>
            <w:tcW w:type="dxa" w:w="3389"/>
            <w:tcMar>
              <w:top w:w="80" w:type="dxa"/>
              <w:start w:w="100" w:type="dxa"/>
              <w:bottom w:w="80" w:type="dxa"/>
              <w:end w:w="100" w:type="dxa"/>
            </w:tcMar>
            <w:vAlign w:val="top"/>
          </w:tcPr>
          <w:p>
            <w:r>
              <w:rPr>
                <w:sz w:val="16"/>
              </w:rPr>
              <w:t>None</w:t>
            </w:r>
          </w:p>
        </w:tc>
        <w:tc>
          <w:tcPr>
            <w:tcW w:type="dxa" w:w="3389"/>
            <w:tcMar>
              <w:top w:w="80" w:type="dxa"/>
              <w:start w:w="100" w:type="dxa"/>
              <w:bottom w:w="80" w:type="dxa"/>
              <w:end w:w="100" w:type="dxa"/>
            </w:tcMar>
            <w:vAlign w:val="top"/>
          </w:tcPr>
          <w:p>
            <w:r>
              <w:rPr>
                <w:sz w:val="16"/>
              </w:rPr>
              <w:t>Antithetic</w:t>
            </w:r>
          </w:p>
        </w:tc>
      </w:tr>
      <w:tr>
        <w:trPr>
          <w:cantSplit/>
        </w:trPr>
        <w:tc>
          <w:tcPr>
            <w:tcW w:type="dxa" w:w="3389"/>
            <w:tcMar>
              <w:top w:w="80" w:type="dxa"/>
              <w:start w:w="100" w:type="dxa"/>
              <w:bottom w:w="80" w:type="dxa"/>
              <w:end w:w="100" w:type="dxa"/>
            </w:tcMar>
            <w:vAlign w:val="top"/>
          </w:tcPr>
          <w:p>
            <w:r>
              <w:rPr>
                <w:sz w:val="16"/>
              </w:rPr>
              <w:t>Standard</w:t>
            </w:r>
          </w:p>
        </w:tc>
        <w:tc>
          <w:tcPr>
            <w:tcW w:type="dxa" w:w="3389"/>
            <w:tcMar>
              <w:top w:w="80" w:type="dxa"/>
              <w:start w:w="100" w:type="dxa"/>
              <w:bottom w:w="80" w:type="dxa"/>
              <w:end w:w="100" w:type="dxa"/>
            </w:tcMar>
            <w:vAlign w:val="top"/>
          </w:tcPr>
          <w:p>
            <w:r>
              <w:rPr>
                <w:sz w:val="16"/>
              </w:rPr>
              <w:t>None</w:t>
            </w:r>
          </w:p>
        </w:tc>
        <w:tc>
          <w:tcPr>
            <w:tcW w:type="dxa" w:w="3389"/>
            <w:tcMar>
              <w:top w:w="80" w:type="dxa"/>
              <w:start w:w="100" w:type="dxa"/>
              <w:bottom w:w="80" w:type="dxa"/>
              <w:end w:w="100" w:type="dxa"/>
            </w:tcMar>
            <w:vAlign w:val="top"/>
          </w:tcPr>
          <w:p>
            <w:r>
              <w:rPr>
                <w:sz w:val="16"/>
              </w:rPr>
              <w:t>BrownianBridge</w:t>
            </w:r>
          </w:p>
        </w:tc>
      </w:tr>
      <w:tr>
        <w:trPr>
          <w:cantSplit/>
        </w:trPr>
        <w:tc>
          <w:tcPr>
            <w:tcW w:type="dxa" w:w="3389"/>
            <w:tcMar>
              <w:top w:w="80" w:type="dxa"/>
              <w:start w:w="100" w:type="dxa"/>
              <w:bottom w:w="80" w:type="dxa"/>
              <w:end w:w="100" w:type="dxa"/>
            </w:tcMar>
            <w:vAlign w:val="top"/>
          </w:tcPr>
          <w:p>
            <w:r>
              <w:rPr>
                <w:sz w:val="16"/>
              </w:rPr>
              <w:t>Standard</w:t>
            </w:r>
          </w:p>
        </w:tc>
        <w:tc>
          <w:tcPr>
            <w:tcW w:type="dxa" w:w="3389"/>
            <w:tcMar>
              <w:top w:w="80" w:type="dxa"/>
              <w:start w:w="100" w:type="dxa"/>
              <w:bottom w:w="80" w:type="dxa"/>
              <w:end w:w="100" w:type="dxa"/>
            </w:tcMar>
            <w:vAlign w:val="top"/>
          </w:tcPr>
          <w:p>
            <w:r>
              <w:rPr>
                <w:sz w:val="16"/>
              </w:rPr>
              <w:t>None</w:t>
            </w:r>
          </w:p>
        </w:tc>
        <w:tc>
          <w:tcPr>
            <w:tcW w:type="dxa" w:w="3389"/>
            <w:tcMar>
              <w:top w:w="80" w:type="dxa"/>
              <w:start w:w="100" w:type="dxa"/>
              <w:bottom w:w="80" w:type="dxa"/>
              <w:end w:w="100" w:type="dxa"/>
            </w:tcMar>
            <w:vAlign w:val="top"/>
          </w:tcPr>
          <w:p>
            <w:r>
              <w:rPr>
                <w:sz w:val="16"/>
              </w:rPr>
              <w:t>MomentMatching</w:t>
            </w:r>
          </w:p>
        </w:tc>
      </w:tr>
      <w:tr>
        <w:trPr>
          <w:cantSplit/>
        </w:trPr>
        <w:tc>
          <w:tcPr>
            <w:tcW w:type="dxa" w:w="3389"/>
            <w:tcMar>
              <w:top w:w="80" w:type="dxa"/>
              <w:start w:w="100" w:type="dxa"/>
              <w:bottom w:w="80" w:type="dxa"/>
              <w:end w:w="100" w:type="dxa"/>
            </w:tcMar>
            <w:vAlign w:val="top"/>
          </w:tcPr>
          <w:p>
            <w:r>
              <w:rPr>
                <w:sz w:val="16"/>
              </w:rPr>
              <w:t>Standard</w:t>
            </w:r>
          </w:p>
        </w:tc>
        <w:tc>
          <w:tcPr>
            <w:tcW w:type="dxa" w:w="3389"/>
            <w:tcMar>
              <w:top w:w="80" w:type="dxa"/>
              <w:start w:w="100" w:type="dxa"/>
              <w:bottom w:w="80" w:type="dxa"/>
              <w:end w:w="100" w:type="dxa"/>
            </w:tcMar>
            <w:vAlign w:val="top"/>
          </w:tcPr>
          <w:p>
            <w:r>
              <w:rPr>
                <w:sz w:val="16"/>
              </w:rPr>
              <w:t>LatinHypercube</w:t>
            </w:r>
          </w:p>
        </w:tc>
        <w:tc>
          <w:tcPr>
            <w:tcW w:type="dxa" w:w="3389"/>
            <w:tcMar>
              <w:top w:w="80" w:type="dxa"/>
              <w:start w:w="100" w:type="dxa"/>
              <w:bottom w:w="80" w:type="dxa"/>
              <w:end w:w="100" w:type="dxa"/>
            </w:tcMar>
            <w:vAlign w:val="top"/>
          </w:tcPr>
          <w:p>
            <w:r>
              <w:rPr>
                <w:sz w:val="16"/>
              </w:rPr>
              <w:t>Vanilla</w:t>
            </w:r>
          </w:p>
        </w:tc>
      </w:tr>
      <w:tr>
        <w:trPr>
          <w:cantSplit/>
        </w:trPr>
        <w:tc>
          <w:tcPr>
            <w:tcW w:type="dxa" w:w="3389"/>
            <w:tcMar>
              <w:top w:w="80" w:type="dxa"/>
              <w:start w:w="100" w:type="dxa"/>
              <w:bottom w:w="80" w:type="dxa"/>
              <w:end w:w="100" w:type="dxa"/>
            </w:tcMar>
            <w:vAlign w:val="top"/>
          </w:tcPr>
          <w:p>
            <w:r>
              <w:rPr>
                <w:sz w:val="16"/>
              </w:rPr>
              <w:t>Standard</w:t>
            </w:r>
          </w:p>
        </w:tc>
        <w:tc>
          <w:tcPr>
            <w:tcW w:type="dxa" w:w="3389"/>
            <w:tcMar>
              <w:top w:w="80" w:type="dxa"/>
              <w:start w:w="100" w:type="dxa"/>
              <w:bottom w:w="80" w:type="dxa"/>
              <w:end w:w="100" w:type="dxa"/>
            </w:tcMar>
            <w:vAlign w:val="top"/>
          </w:tcPr>
          <w:p>
            <w:r>
              <w:rPr>
                <w:sz w:val="16"/>
              </w:rPr>
              <w:t>Stratification</w:t>
            </w:r>
          </w:p>
        </w:tc>
        <w:tc>
          <w:tcPr>
            <w:tcW w:type="dxa" w:w="3389"/>
            <w:tcMar>
              <w:top w:w="80" w:type="dxa"/>
              <w:start w:w="100" w:type="dxa"/>
              <w:bottom w:w="80" w:type="dxa"/>
              <w:end w:w="100" w:type="dxa"/>
            </w:tcMar>
            <w:vAlign w:val="top"/>
          </w:tcPr>
          <w:p>
            <w:r>
              <w:rPr>
                <w:sz w:val="16"/>
              </w:rPr>
              <w:t>Vanilla</w:t>
            </w:r>
          </w:p>
        </w:tc>
      </w:tr>
      <w:tr>
        <w:trPr>
          <w:cantSplit/>
        </w:trPr>
        <w:tc>
          <w:tcPr>
            <w:tcW w:type="dxa" w:w="3389"/>
            <w:tcMar>
              <w:top w:w="80" w:type="dxa"/>
              <w:start w:w="100" w:type="dxa"/>
              <w:bottom w:w="80" w:type="dxa"/>
              <w:end w:w="100" w:type="dxa"/>
            </w:tcMar>
            <w:vAlign w:val="top"/>
          </w:tcPr>
          <w:p>
            <w:r>
              <w:rPr>
                <w:sz w:val="16"/>
              </w:rPr>
              <w:t>Quasi</w:t>
            </w:r>
          </w:p>
        </w:tc>
        <w:tc>
          <w:tcPr>
            <w:tcW w:type="dxa" w:w="3389"/>
            <w:tcMar>
              <w:top w:w="80" w:type="dxa"/>
              <w:start w:w="100" w:type="dxa"/>
              <w:bottom w:w="80" w:type="dxa"/>
              <w:end w:w="100" w:type="dxa"/>
            </w:tcMar>
            <w:vAlign w:val="top"/>
          </w:tcPr>
          <w:p>
            <w:r>
              <w:rPr>
                <w:sz w:val="16"/>
              </w:rPr>
              <w:t>None</w:t>
            </w:r>
          </w:p>
        </w:tc>
        <w:tc>
          <w:tcPr>
            <w:tcW w:type="dxa" w:w="3389"/>
            <w:tcMar>
              <w:top w:w="80" w:type="dxa"/>
              <w:start w:w="100" w:type="dxa"/>
              <w:bottom w:w="80" w:type="dxa"/>
              <w:end w:w="100" w:type="dxa"/>
            </w:tcMar>
            <w:vAlign w:val="top"/>
          </w:tcPr>
          <w:p>
            <w:r>
              <w:rPr>
                <w:sz w:val="16"/>
              </w:rPr>
              <w:t>Vanilla</w:t>
            </w:r>
          </w:p>
        </w:tc>
      </w:tr>
      <w:tr>
        <w:trPr>
          <w:cantSplit/>
        </w:trPr>
        <w:tc>
          <w:tcPr>
            <w:tcW w:type="dxa" w:w="3389"/>
            <w:tcMar>
              <w:top w:w="80" w:type="dxa"/>
              <w:start w:w="100" w:type="dxa"/>
              <w:bottom w:w="80" w:type="dxa"/>
              <w:end w:w="100" w:type="dxa"/>
            </w:tcMar>
            <w:vAlign w:val="top"/>
          </w:tcPr>
          <w:p>
            <w:r>
              <w:rPr>
                <w:sz w:val="16"/>
              </w:rPr>
              <w:t>Quasi</w:t>
            </w:r>
          </w:p>
        </w:tc>
        <w:tc>
          <w:tcPr>
            <w:tcW w:type="dxa" w:w="3389"/>
            <w:tcMar>
              <w:top w:w="80" w:type="dxa"/>
              <w:start w:w="100" w:type="dxa"/>
              <w:bottom w:w="80" w:type="dxa"/>
              <w:end w:w="100" w:type="dxa"/>
            </w:tcMar>
            <w:vAlign w:val="top"/>
          </w:tcPr>
          <w:p>
            <w:r>
              <w:rPr>
                <w:sz w:val="16"/>
              </w:rPr>
              <w:t>LatinHypercube</w:t>
            </w:r>
          </w:p>
        </w:tc>
        <w:tc>
          <w:tcPr>
            <w:tcW w:type="dxa" w:w="3389"/>
            <w:tcMar>
              <w:top w:w="80" w:type="dxa"/>
              <w:start w:w="100" w:type="dxa"/>
              <w:bottom w:w="80" w:type="dxa"/>
              <w:end w:w="100" w:type="dxa"/>
            </w:tcMar>
            <w:vAlign w:val="top"/>
          </w:tcPr>
          <w:p>
            <w:r>
              <w:rPr>
                <w:sz w:val="16"/>
              </w:rPr>
              <w:t>Vanilla</w:t>
            </w:r>
          </w:p>
        </w:tc>
      </w:tr>
      <w:tr>
        <w:trPr>
          <w:cantSplit/>
        </w:trPr>
        <w:tc>
          <w:tcPr>
            <w:tcW w:type="dxa" w:w="3389"/>
            <w:tcMar>
              <w:top w:w="80" w:type="dxa"/>
              <w:start w:w="100" w:type="dxa"/>
              <w:bottom w:w="80" w:type="dxa"/>
              <w:end w:w="100" w:type="dxa"/>
            </w:tcMar>
            <w:vAlign w:val="top"/>
          </w:tcPr>
          <w:p>
            <w:r>
              <w:rPr>
                <w:sz w:val="16"/>
              </w:rPr>
              <w:t>Quasi</w:t>
            </w:r>
          </w:p>
        </w:tc>
        <w:tc>
          <w:tcPr>
            <w:tcW w:type="dxa" w:w="3389"/>
            <w:tcMar>
              <w:top w:w="80" w:type="dxa"/>
              <w:start w:w="100" w:type="dxa"/>
              <w:bottom w:w="80" w:type="dxa"/>
              <w:end w:w="100" w:type="dxa"/>
            </w:tcMar>
            <w:vAlign w:val="top"/>
          </w:tcPr>
          <w:p>
            <w:r>
              <w:rPr>
                <w:sz w:val="16"/>
              </w:rPr>
              <w:t>Stratification</w:t>
            </w:r>
          </w:p>
        </w:tc>
        <w:tc>
          <w:tcPr>
            <w:tcW w:type="dxa" w:w="3389"/>
            <w:tcMar>
              <w:top w:w="80" w:type="dxa"/>
              <w:start w:w="100" w:type="dxa"/>
              <w:bottom w:w="80" w:type="dxa"/>
              <w:end w:w="100" w:type="dxa"/>
            </w:tcMar>
            <w:vAlign w:val="top"/>
          </w:tcPr>
          <w:p>
            <w:r>
              <w:rPr>
                <w:sz w:val="16"/>
              </w:rPr>
              <w:t>Vanilla</w:t>
            </w:r>
          </w:p>
        </w:tc>
      </w:tr>
      <w:tr>
        <w:trPr>
          <w:cantSplit/>
        </w:trPr>
        <w:tc>
          <w:tcPr>
            <w:tcW w:type="dxa" w:w="3389"/>
            <w:tcMar>
              <w:top w:w="80" w:type="dxa"/>
              <w:start w:w="100" w:type="dxa"/>
              <w:bottom w:w="80" w:type="dxa"/>
              <w:end w:w="100" w:type="dxa"/>
            </w:tcMar>
            <w:vAlign w:val="top"/>
          </w:tcPr>
          <w:p>
            <w:r>
              <w:rPr>
                <w:sz w:val="16"/>
              </w:rPr>
              <w:t>Quasi</w:t>
            </w:r>
          </w:p>
        </w:tc>
        <w:tc>
          <w:tcPr>
            <w:tcW w:type="dxa" w:w="3389"/>
            <w:tcMar>
              <w:top w:w="80" w:type="dxa"/>
              <w:start w:w="100" w:type="dxa"/>
              <w:bottom w:w="80" w:type="dxa"/>
              <w:end w:w="100" w:type="dxa"/>
            </w:tcMar>
            <w:vAlign w:val="top"/>
          </w:tcPr>
          <w:p>
            <w:r>
              <w:rPr>
                <w:sz w:val="16"/>
              </w:rPr>
              <w:t>None</w:t>
            </w:r>
          </w:p>
        </w:tc>
        <w:tc>
          <w:tcPr>
            <w:tcW w:type="dxa" w:w="3389"/>
            <w:tcMar>
              <w:top w:w="80" w:type="dxa"/>
              <w:start w:w="100" w:type="dxa"/>
              <w:bottom w:w="80" w:type="dxa"/>
              <w:end w:w="100" w:type="dxa"/>
            </w:tcMar>
            <w:vAlign w:val="top"/>
          </w:tcPr>
          <w:p>
            <w:r>
              <w:rPr>
                <w:sz w:val="16"/>
              </w:rPr>
              <w:t>BrownianBridge</w:t>
            </w:r>
          </w:p>
        </w:tc>
      </w:tr>
    </w:tbl>
    <w:p>
      <w:pPr>
        <w:spacing w:after="40"/>
      </w:pP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Repetitions: </w:t>
            </w:r>
            <w:r>
              <w:t>Any nontrivial RNG, sampler or Wiener family requires num_repetitions &gt;= 2. Use an even N for Antithetic.</w:t>
            </w:r>
          </w:p>
        </w:tc>
      </w:tr>
    </w:tbl>
    <w:p>
      <w:pPr>
        <w:spacing w:after="20"/>
      </w:pPr>
    </w:p>
    <w:p>
      <w:pPr>
        <w:pStyle w:val="Heading1"/>
        <w:keepNext/>
      </w:pPr>
      <w:r>
        <w:t>41. Running the newly incorporated benchmark suite</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python -m pytest -q -v \</w:t>
              <w:br/>
              <w:t xml:space="preserve">  "BenchmarkControlVariate_API_ONLY_FLAT(1).py" \</w:t>
              <w:br/>
              <w:t xml:space="preserve">  "BenchmarkControlVariateAsian_API_ONLY_FLAT(1).py" \</w:t>
              <w:br/>
              <w:t xml:space="preserve">  "BenchmarkControlVariateAdvanced_API_ONLY_FLAT(1).py" \</w:t>
              <w:br/>
              <w:t xml:space="preserve">  "BenchmarkSamplers_API_ONLY_FLAT(1).py" \</w:t>
              <w:br/>
              <w:t xml:space="preserve">  "BenchmarkAmericanAsian_API_ONLY_FLAT(1).py" \</w:t>
              <w:br/>
              <w:t xml:space="preserve">  "BenchmarkAmericanBarrier_API_ONLY_FLAT(1).py" \</w:t>
              <w:br/>
              <w:t xml:space="preserve">  "BenchmarkImportanceSampling_API_ONLY_FLAT(1).py" \</w:t>
              <w:br/>
              <w:t xml:space="preserve">  "BenchmarkingImportanceSampling_API_ONLY_FLAT(1).py" \</w:t>
              <w:br/>
              <w:t xml:space="preserve">  "BenchmarkAmericanBermudanNestedBarriersLookbacks_API_ONLY_FLAT(1).py" \</w:t>
              <w:br/>
              <w:t xml:space="preserve">  "BenchmarkAmericanLSMAdvancedJumps_API_ONLY_FLAT(1).py"</w:t>
            </w:r>
          </w:p>
        </w:tc>
      </w:tr>
    </w:tbl>
    <w:p>
      <w:pPr>
        <w:spacing w:after="20"/>
      </w:pPr>
    </w:p>
    <w:p>
      <w:pPr>
        <w:pStyle w:val="Heading2"/>
        <w:keepNext/>
      </w:pPr>
      <w:r>
        <w:t>41.1 Common benchmark environment variables</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F4E78"/>
            <w:vAlign w:val="center"/>
            <w:tcMar>
              <w:top w:w="80" w:type="dxa"/>
              <w:start w:w="100" w:type="dxa"/>
              <w:bottom w:w="80" w:type="dxa"/>
              <w:end w:w="100" w:type="dxa"/>
            </w:tcMar>
          </w:tcPr>
          <w:p>
            <w:r>
              <w:rPr>
                <w:b/>
                <w:color w:val="FFFFFF"/>
                <w:sz w:val="16"/>
              </w:rPr>
              <w:t>Variable</w:t>
            </w:r>
          </w:p>
        </w:tc>
        <w:tc>
          <w:tcPr>
            <w:tcW w:type="dxa" w:w="3389"/>
            <w:shd w:fill="1F4E78"/>
            <w:vAlign w:val="center"/>
            <w:tcMar>
              <w:top w:w="80" w:type="dxa"/>
              <w:start w:w="100" w:type="dxa"/>
              <w:bottom w:w="80" w:type="dxa"/>
              <w:end w:w="100" w:type="dxa"/>
            </w:tcMar>
          </w:tcPr>
          <w:p>
            <w:r>
              <w:rPr>
                <w:b/>
                <w:color w:val="FFFFFF"/>
                <w:sz w:val="16"/>
              </w:rPr>
              <w:t>Purpose</w:t>
            </w:r>
          </w:p>
        </w:tc>
        <w:tc>
          <w:tcPr>
            <w:tcW w:type="dxa" w:w="3389"/>
            <w:shd w:fill="1F4E78"/>
            <w:vAlign w:val="center"/>
            <w:tcMar>
              <w:top w:w="80" w:type="dxa"/>
              <w:start w:w="100" w:type="dxa"/>
              <w:bottom w:w="80" w:type="dxa"/>
              <w:end w:w="100" w:type="dxa"/>
            </w:tcMar>
          </w:tcPr>
          <w:p>
            <w:r>
              <w:rPr>
                <w:b/>
                <w:color w:val="FFFFFF"/>
                <w:sz w:val="16"/>
              </w:rPr>
              <w:t>Typical default</w:t>
            </w:r>
          </w:p>
        </w:tc>
      </w:tr>
      <w:tr>
        <w:trPr>
          <w:cantSplit/>
        </w:trPr>
        <w:tc>
          <w:tcPr>
            <w:tcW w:type="dxa" w:w="3389"/>
            <w:tcMar>
              <w:top w:w="80" w:type="dxa"/>
              <w:start w:w="100" w:type="dxa"/>
              <w:bottom w:w="80" w:type="dxa"/>
              <w:end w:w="100" w:type="dxa"/>
            </w:tcMar>
            <w:vAlign w:val="top"/>
          </w:tcPr>
          <w:p>
            <w:r>
              <w:rPr>
                <w:sz w:val="16"/>
              </w:rPr>
              <w:t>BENCH_N_PATHS</w:t>
            </w:r>
          </w:p>
        </w:tc>
        <w:tc>
          <w:tcPr>
            <w:tcW w:type="dxa" w:w="3389"/>
            <w:tcMar>
              <w:top w:w="80" w:type="dxa"/>
              <w:start w:w="100" w:type="dxa"/>
              <w:bottom w:w="80" w:type="dxa"/>
              <w:end w:w="100" w:type="dxa"/>
            </w:tcMar>
            <w:vAlign w:val="top"/>
          </w:tcPr>
          <w:p>
            <w:r>
              <w:rPr>
                <w:sz w:val="16"/>
              </w:rPr>
              <w:t>Monte Carlo paths</w:t>
            </w:r>
          </w:p>
        </w:tc>
        <w:tc>
          <w:tcPr>
            <w:tcW w:type="dxa" w:w="3389"/>
            <w:tcMar>
              <w:top w:w="80" w:type="dxa"/>
              <w:start w:w="100" w:type="dxa"/>
              <w:bottom w:w="80" w:type="dxa"/>
              <w:end w:w="100" w:type="dxa"/>
            </w:tcMar>
            <w:vAlign w:val="top"/>
          </w:tcPr>
          <w:p>
            <w:r>
              <w:rPr>
                <w:sz w:val="16"/>
              </w:rPr>
              <w:t>4,000 to 200,000 depending on suite</w:t>
            </w:r>
          </w:p>
        </w:tc>
      </w:tr>
      <w:tr>
        <w:trPr>
          <w:cantSplit/>
        </w:trPr>
        <w:tc>
          <w:tcPr>
            <w:tcW w:type="dxa" w:w="3389"/>
            <w:tcMar>
              <w:top w:w="80" w:type="dxa"/>
              <w:start w:w="100" w:type="dxa"/>
              <w:bottom w:w="80" w:type="dxa"/>
              <w:end w:w="100" w:type="dxa"/>
            </w:tcMar>
            <w:vAlign w:val="top"/>
          </w:tcPr>
          <w:p>
            <w:r>
              <w:rPr>
                <w:sz w:val="16"/>
              </w:rPr>
              <w:t>BENCH_N_STEPS</w:t>
            </w:r>
          </w:p>
        </w:tc>
        <w:tc>
          <w:tcPr>
            <w:tcW w:type="dxa" w:w="3389"/>
            <w:tcMar>
              <w:top w:w="80" w:type="dxa"/>
              <w:start w:w="100" w:type="dxa"/>
              <w:bottom w:w="80" w:type="dxa"/>
              <w:end w:w="100" w:type="dxa"/>
            </w:tcMar>
            <w:vAlign w:val="top"/>
          </w:tcPr>
          <w:p>
            <w:r>
              <w:rPr>
                <w:sz w:val="16"/>
              </w:rPr>
              <w:t>Time intervals</w:t>
            </w:r>
          </w:p>
        </w:tc>
        <w:tc>
          <w:tcPr>
            <w:tcW w:type="dxa" w:w="3389"/>
            <w:tcMar>
              <w:top w:w="80" w:type="dxa"/>
              <w:start w:w="100" w:type="dxa"/>
              <w:bottom w:w="80" w:type="dxa"/>
              <w:end w:w="100" w:type="dxa"/>
            </w:tcMar>
            <w:vAlign w:val="top"/>
          </w:tcPr>
          <w:p>
            <w:r>
              <w:rPr>
                <w:sz w:val="16"/>
              </w:rPr>
              <w:t>50; 252 for American Asian</w:t>
            </w:r>
          </w:p>
        </w:tc>
      </w:tr>
      <w:tr>
        <w:trPr>
          <w:cantSplit/>
        </w:trPr>
        <w:tc>
          <w:tcPr>
            <w:tcW w:type="dxa" w:w="3389"/>
            <w:tcMar>
              <w:top w:w="80" w:type="dxa"/>
              <w:start w:w="100" w:type="dxa"/>
              <w:bottom w:w="80" w:type="dxa"/>
              <w:end w:w="100" w:type="dxa"/>
            </w:tcMar>
            <w:vAlign w:val="top"/>
          </w:tcPr>
          <w:p>
            <w:r>
              <w:rPr>
                <w:sz w:val="16"/>
              </w:rPr>
              <w:t>BENCH_SEED</w:t>
            </w:r>
          </w:p>
        </w:tc>
        <w:tc>
          <w:tcPr>
            <w:tcW w:type="dxa" w:w="3389"/>
            <w:tcMar>
              <w:top w:w="80" w:type="dxa"/>
              <w:start w:w="100" w:type="dxa"/>
              <w:bottom w:w="80" w:type="dxa"/>
              <w:end w:w="100" w:type="dxa"/>
            </w:tcMar>
            <w:vAlign w:val="top"/>
          </w:tcPr>
          <w:p>
            <w:r>
              <w:rPr>
                <w:sz w:val="16"/>
              </w:rPr>
              <w:t>Deterministic seed</w:t>
            </w:r>
          </w:p>
        </w:tc>
        <w:tc>
          <w:tcPr>
            <w:tcW w:type="dxa" w:w="3389"/>
            <w:tcMar>
              <w:top w:w="80" w:type="dxa"/>
              <w:start w:w="100" w:type="dxa"/>
              <w:bottom w:w="80" w:type="dxa"/>
              <w:end w:w="100" w:type="dxa"/>
            </w:tcMar>
            <w:vAlign w:val="top"/>
          </w:tcPr>
          <w:p>
            <w:r>
              <w:rPr>
                <w:sz w:val="16"/>
              </w:rPr>
              <w:t>0</w:t>
            </w:r>
          </w:p>
        </w:tc>
      </w:tr>
      <w:tr>
        <w:trPr>
          <w:cantSplit/>
        </w:trPr>
        <w:tc>
          <w:tcPr>
            <w:tcW w:type="dxa" w:w="3389"/>
            <w:tcMar>
              <w:top w:w="80" w:type="dxa"/>
              <w:start w:w="100" w:type="dxa"/>
              <w:bottom w:w="80" w:type="dxa"/>
              <w:end w:w="100" w:type="dxa"/>
            </w:tcMar>
            <w:vAlign w:val="top"/>
          </w:tcPr>
          <w:p>
            <w:r>
              <w:rPr>
                <w:sz w:val="16"/>
              </w:rPr>
              <w:t>BENCH_TOL_SE</w:t>
            </w:r>
          </w:p>
        </w:tc>
        <w:tc>
          <w:tcPr>
            <w:tcW w:type="dxa" w:w="3389"/>
            <w:tcMar>
              <w:top w:w="80" w:type="dxa"/>
              <w:start w:w="100" w:type="dxa"/>
              <w:bottom w:w="80" w:type="dxa"/>
              <w:end w:w="100" w:type="dxa"/>
            </w:tcMar>
            <w:vAlign w:val="top"/>
          </w:tcPr>
          <w:p>
            <w:r>
              <w:rPr>
                <w:sz w:val="16"/>
              </w:rPr>
              <w:t>Statistical tolerance multiplier</w:t>
            </w:r>
          </w:p>
        </w:tc>
        <w:tc>
          <w:tcPr>
            <w:tcW w:type="dxa" w:w="3389"/>
            <w:tcMar>
              <w:top w:w="80" w:type="dxa"/>
              <w:start w:w="100" w:type="dxa"/>
              <w:bottom w:w="80" w:type="dxa"/>
              <w:end w:w="100" w:type="dxa"/>
            </w:tcMar>
            <w:vAlign w:val="top"/>
          </w:tcPr>
          <w:p>
            <w:r>
              <w:rPr>
                <w:sz w:val="16"/>
              </w:rPr>
              <w:t>3 to 4</w:t>
            </w:r>
          </w:p>
        </w:tc>
      </w:tr>
      <w:tr>
        <w:trPr>
          <w:cantSplit/>
        </w:trPr>
        <w:tc>
          <w:tcPr>
            <w:tcW w:type="dxa" w:w="3389"/>
            <w:tcMar>
              <w:top w:w="80" w:type="dxa"/>
              <w:start w:w="100" w:type="dxa"/>
              <w:bottom w:w="80" w:type="dxa"/>
              <w:end w:w="100" w:type="dxa"/>
            </w:tcMar>
            <w:vAlign w:val="top"/>
          </w:tcPr>
          <w:p>
            <w:r>
              <w:rPr>
                <w:sz w:val="16"/>
              </w:rPr>
              <w:t>BENCH_REPETITIONS / BENCH_REPLICATIONS</w:t>
            </w:r>
          </w:p>
        </w:tc>
        <w:tc>
          <w:tcPr>
            <w:tcW w:type="dxa" w:w="3389"/>
            <w:tcMar>
              <w:top w:w="80" w:type="dxa"/>
              <w:start w:w="100" w:type="dxa"/>
              <w:bottom w:w="80" w:type="dxa"/>
              <w:end w:w="100" w:type="dxa"/>
            </w:tcMar>
            <w:vAlign w:val="top"/>
          </w:tcPr>
          <w:p>
            <w:r>
              <w:rPr>
                <w:sz w:val="16"/>
              </w:rPr>
              <w:t>Independent replications</w:t>
            </w:r>
          </w:p>
        </w:tc>
        <w:tc>
          <w:tcPr>
            <w:tcW w:type="dxa" w:w="3389"/>
            <w:tcMar>
              <w:top w:w="80" w:type="dxa"/>
              <w:start w:w="100" w:type="dxa"/>
              <w:bottom w:w="80" w:type="dxa"/>
              <w:end w:w="100" w:type="dxa"/>
            </w:tcMar>
            <w:vAlign w:val="top"/>
          </w:tcPr>
          <w:p>
            <w:r>
              <w:rPr>
                <w:sz w:val="16"/>
              </w:rPr>
              <w:t>8 or 12</w:t>
            </w:r>
          </w:p>
        </w:tc>
      </w:tr>
      <w:tr>
        <w:trPr>
          <w:cantSplit/>
        </w:trPr>
        <w:tc>
          <w:tcPr>
            <w:tcW w:type="dxa" w:w="3389"/>
            <w:tcMar>
              <w:top w:w="80" w:type="dxa"/>
              <w:start w:w="100" w:type="dxa"/>
              <w:bottom w:w="80" w:type="dxa"/>
              <w:end w:w="100" w:type="dxa"/>
            </w:tcMar>
            <w:vAlign w:val="top"/>
          </w:tcPr>
          <w:p>
            <w:r>
              <w:rPr>
                <w:sz w:val="16"/>
              </w:rPr>
              <w:t>BENCH_REG_DEGREE</w:t>
            </w:r>
          </w:p>
        </w:tc>
        <w:tc>
          <w:tcPr>
            <w:tcW w:type="dxa" w:w="3389"/>
            <w:tcMar>
              <w:top w:w="80" w:type="dxa"/>
              <w:start w:w="100" w:type="dxa"/>
              <w:bottom w:w="80" w:type="dxa"/>
              <w:end w:w="100" w:type="dxa"/>
            </w:tcMar>
            <w:vAlign w:val="top"/>
          </w:tcPr>
          <w:p>
            <w:r>
              <w:rPr>
                <w:sz w:val="16"/>
              </w:rPr>
              <w:t>LSM polynomial degree</w:t>
            </w:r>
          </w:p>
        </w:tc>
        <w:tc>
          <w:tcPr>
            <w:tcW w:type="dxa" w:w="3389"/>
            <w:tcMar>
              <w:top w:w="80" w:type="dxa"/>
              <w:start w:w="100" w:type="dxa"/>
              <w:bottom w:w="80" w:type="dxa"/>
              <w:end w:w="100" w:type="dxa"/>
            </w:tcMar>
            <w:vAlign w:val="top"/>
          </w:tcPr>
          <w:p>
            <w:r>
              <w:rPr>
                <w:sz w:val="16"/>
              </w:rPr>
              <w:t>3 or 4</w:t>
            </w:r>
          </w:p>
        </w:tc>
      </w:tr>
      <w:tr>
        <w:trPr>
          <w:cantSplit/>
        </w:trPr>
        <w:tc>
          <w:tcPr>
            <w:tcW w:type="dxa" w:w="3389"/>
            <w:tcMar>
              <w:top w:w="80" w:type="dxa"/>
              <w:start w:w="100" w:type="dxa"/>
              <w:bottom w:w="80" w:type="dxa"/>
              <w:end w:w="100" w:type="dxa"/>
            </w:tcMar>
            <w:vAlign w:val="top"/>
          </w:tcPr>
          <w:p>
            <w:r>
              <w:rPr>
                <w:sz w:val="16"/>
              </w:rPr>
              <w:t>BENCH_EXERCISE_POINTS</w:t>
            </w:r>
          </w:p>
        </w:tc>
        <w:tc>
          <w:tcPr>
            <w:tcW w:type="dxa" w:w="3389"/>
            <w:tcMar>
              <w:top w:w="80" w:type="dxa"/>
              <w:start w:w="100" w:type="dxa"/>
              <w:bottom w:w="80" w:type="dxa"/>
              <w:end w:w="100" w:type="dxa"/>
            </w:tcMar>
            <w:vAlign w:val="top"/>
          </w:tcPr>
          <w:p>
            <w:r>
              <w:rPr>
                <w:sz w:val="16"/>
              </w:rPr>
              <w:t>LSM exercise dates</w:t>
            </w:r>
          </w:p>
        </w:tc>
        <w:tc>
          <w:tcPr>
            <w:tcW w:type="dxa" w:w="3389"/>
            <w:tcMar>
              <w:top w:w="80" w:type="dxa"/>
              <w:start w:w="100" w:type="dxa"/>
              <w:bottom w:w="80" w:type="dxa"/>
              <w:end w:w="100" w:type="dxa"/>
            </w:tcMar>
            <w:vAlign w:val="top"/>
          </w:tcPr>
          <w:p>
            <w:r>
              <w:rPr>
                <w:sz w:val="16"/>
              </w:rPr>
              <w:t>50</w:t>
            </w:r>
          </w:p>
        </w:tc>
      </w:tr>
      <w:tr>
        <w:trPr>
          <w:cantSplit/>
        </w:trPr>
        <w:tc>
          <w:tcPr>
            <w:tcW w:type="dxa" w:w="3389"/>
            <w:tcMar>
              <w:top w:w="80" w:type="dxa"/>
              <w:start w:w="100" w:type="dxa"/>
              <w:bottom w:w="80" w:type="dxa"/>
              <w:end w:w="100" w:type="dxa"/>
            </w:tcMar>
            <w:vAlign w:val="top"/>
          </w:tcPr>
          <w:p>
            <w:r>
              <w:rPr>
                <w:sz w:val="16"/>
              </w:rPr>
              <w:t>BENCH_CV_CALIBRATION_PATHS</w:t>
            </w:r>
          </w:p>
        </w:tc>
        <w:tc>
          <w:tcPr>
            <w:tcW w:type="dxa" w:w="3389"/>
            <w:tcMar>
              <w:top w:w="80" w:type="dxa"/>
              <w:start w:w="100" w:type="dxa"/>
              <w:bottom w:w="80" w:type="dxa"/>
              <w:end w:w="100" w:type="dxa"/>
            </w:tcMar>
            <w:vAlign w:val="top"/>
          </w:tcPr>
          <w:p>
            <w:r>
              <w:rPr>
                <w:sz w:val="16"/>
              </w:rPr>
              <w:t>Control beta calibration subset</w:t>
            </w:r>
          </w:p>
        </w:tc>
        <w:tc>
          <w:tcPr>
            <w:tcW w:type="dxa" w:w="3389"/>
            <w:tcMar>
              <w:top w:w="80" w:type="dxa"/>
              <w:start w:w="100" w:type="dxa"/>
              <w:bottom w:w="80" w:type="dxa"/>
              <w:end w:w="100" w:type="dxa"/>
            </w:tcMar>
            <w:vAlign w:val="top"/>
          </w:tcPr>
          <w:p>
            <w:r>
              <w:rPr>
                <w:sz w:val="16"/>
              </w:rPr>
              <w:t>max(100,N/5)</w:t>
            </w:r>
          </w:p>
        </w:tc>
      </w:tr>
      <w:tr>
        <w:trPr>
          <w:cantSplit/>
        </w:trPr>
        <w:tc>
          <w:tcPr>
            <w:tcW w:type="dxa" w:w="3389"/>
            <w:tcMar>
              <w:top w:w="80" w:type="dxa"/>
              <w:start w:w="100" w:type="dxa"/>
              <w:bottom w:w="80" w:type="dxa"/>
              <w:end w:w="100" w:type="dxa"/>
            </w:tcMar>
            <w:vAlign w:val="top"/>
          </w:tcPr>
          <w:p>
            <w:r>
              <w:rPr>
                <w:sz w:val="16"/>
              </w:rPr>
              <w:t>BENCH_LAMBDA</w:t>
            </w:r>
          </w:p>
        </w:tc>
        <w:tc>
          <w:tcPr>
            <w:tcW w:type="dxa" w:w="3389"/>
            <w:tcMar>
              <w:top w:w="80" w:type="dxa"/>
              <w:start w:w="100" w:type="dxa"/>
              <w:bottom w:w="80" w:type="dxa"/>
              <w:end w:w="100" w:type="dxa"/>
            </w:tcMar>
            <w:vAlign w:val="top"/>
          </w:tcPr>
          <w:p>
            <w:r>
              <w:rPr>
                <w:sz w:val="16"/>
              </w:rPr>
              <w:t>Stock jump intensity</w:t>
            </w:r>
          </w:p>
        </w:tc>
        <w:tc>
          <w:tcPr>
            <w:tcW w:type="dxa" w:w="3389"/>
            <w:tcMar>
              <w:top w:w="80" w:type="dxa"/>
              <w:start w:w="100" w:type="dxa"/>
              <w:bottom w:w="80" w:type="dxa"/>
              <w:end w:w="100" w:type="dxa"/>
            </w:tcMar>
            <w:vAlign w:val="top"/>
          </w:tcPr>
          <w:p>
            <w:r>
              <w:rPr>
                <w:sz w:val="16"/>
              </w:rPr>
              <w:t>0.0 or 0.50</w:t>
            </w:r>
          </w:p>
        </w:tc>
      </w:tr>
    </w:tbl>
    <w:p>
      <w:pPr>
        <w:spacing w:after="40"/>
      </w:pPr>
    </w:p>
    <w:p>
      <w:pPr>
        <w:pStyle w:val="Heading2"/>
        <w:keepNext/>
      </w:pPr>
      <w:r>
        <w:t>41.2 Fast smoke run on Windows</w:t>
      </w:r>
    </w:p>
    <w:tbl>
      <w:tblPr>
        <w:tblW w:type="auto" w:w="0"/>
        <w:jc w:val="center"/>
        <w:tblLook w:firstColumn="1" w:firstRow="1" w:lastColumn="0" w:lastRow="0" w:noHBand="0" w:noVBand="1" w:val="04A0"/>
      </w:tblPr>
      <w:tblGrid>
        <w:gridCol w:w="10166"/>
      </w:tblGrid>
      <w:tr>
        <w:tc>
          <w:tcPr>
            <w:tcW w:type="dxa" w:w="10166"/>
            <w:shd w:fill="F3F5F7"/>
            <w:tcMar>
              <w:top w:w="120" w:type="dxa"/>
              <w:start w:w="140" w:type="dxa"/>
              <w:bottom w:w="120" w:type="dxa"/>
              <w:end w:w="140" w:type="dxa"/>
            </w:tcMar>
          </w:tcPr>
          <w:p>
            <w:pPr>
              <w:spacing w:after="0"/>
            </w:pPr>
            <w:r>
              <w:rPr>
                <w:rFonts w:ascii="Consolas" w:hAnsi="Consolas" w:eastAsia="Consolas"/>
                <w:sz w:val="15"/>
              </w:rPr>
              <w:t>set BENCH_N_PATHS=4000</w:t>
              <w:br/>
              <w:t>set BENCH_N_STEPS=25</w:t>
              <w:br/>
              <w:t>set BENCH_REPLICATIONS=4</w:t>
              <w:br/>
              <w:t>set BENCH_REPETITIONS=4</w:t>
              <w:br/>
              <w:t>python -m pytest -q -v "BenchmarkControlVariate_API_ONLY_FLAT(1).py" "BenchmarkSamplers_API_ONLY_FLAT(1).py"</w:t>
            </w:r>
          </w:p>
        </w:tc>
      </w:tr>
    </w:tbl>
    <w:p>
      <w:pPr>
        <w:spacing w:after="20"/>
      </w:pPr>
    </w:p>
    <w:tbl>
      <w:tblPr>
        <w:tblW w:type="auto" w:w="0"/>
        <w:jc w:val="center"/>
        <w:tblLook w:firstColumn="1" w:firstRow="1" w:lastColumn="0" w:lastRow="0" w:noHBand="0" w:noVBand="1" w:val="04A0"/>
      </w:tblPr>
      <w:tblGrid>
        <w:gridCol w:w="10166"/>
      </w:tblGrid>
      <w:tr>
        <w:tc>
          <w:tcPr>
            <w:tcW w:type="dxa" w:w="10166"/>
            <w:shd w:fill="D9EAD3"/>
            <w:tcMar>
              <w:top w:w="120" w:type="dxa"/>
              <w:start w:w="140" w:type="dxa"/>
              <w:bottom w:w="120" w:type="dxa"/>
              <w:end w:w="140" w:type="dxa"/>
            </w:tcMar>
          </w:tcPr>
          <w:p>
            <w:r>
              <w:rPr>
                <w:b/>
              </w:rPr>
              <w:t xml:space="preserve">Final validation: </w:t>
            </w:r>
            <w:r>
              <w:t>Restore the file defaults or your approved production-scale path counts before treating a smoke run as benchmark evidence.</w:t>
            </w:r>
          </w:p>
        </w:tc>
      </w:tr>
    </w:tbl>
    <w:p>
      <w:pPr>
        <w:spacing w:after="20"/>
      </w:pPr>
    </w:p>
    <w:p>
      <w:pPr>
        <w:pStyle w:val="Heading1"/>
        <w:keepNext/>
      </w:pPr>
      <w:r>
        <w:t>Appendix D. Source-to-tutorial coverage map</w:t>
      </w:r>
    </w:p>
    <w:tbl>
      <w:tblPr>
        <w:tblStyle w:val="TableGrid"/>
        <w:tblW w:type="auto" w:w="0"/>
        <w:jc w:val="center"/>
        <w:tblLook w:firstColumn="1" w:firstRow="1" w:lastColumn="0" w:lastRow="0" w:noHBand="0" w:noVBand="1" w:val="04A0"/>
      </w:tblPr>
      <w:tblGrid>
        <w:gridCol w:w="5083"/>
        <w:gridCol w:w="5083"/>
      </w:tblGrid>
      <w:tr>
        <w:tc>
          <w:tcPr>
            <w:tcW w:type="dxa" w:w="5083"/>
            <w:shd w:fill="1F4E78"/>
            <w:vAlign w:val="center"/>
            <w:tcMar>
              <w:top w:w="80" w:type="dxa"/>
              <w:start w:w="100" w:type="dxa"/>
              <w:bottom w:w="80" w:type="dxa"/>
              <w:end w:w="100" w:type="dxa"/>
            </w:tcMar>
          </w:tcPr>
          <w:p>
            <w:r>
              <w:rPr>
                <w:b/>
                <w:color w:val="FFFFFF"/>
                <w:sz w:val="16"/>
              </w:rPr>
              <w:t>Source file</w:t>
            </w:r>
          </w:p>
        </w:tc>
        <w:tc>
          <w:tcPr>
            <w:tcW w:type="dxa" w:w="5083"/>
            <w:shd w:fill="1F4E78"/>
            <w:vAlign w:val="center"/>
            <w:tcMar>
              <w:top w:w="80" w:type="dxa"/>
              <w:start w:w="100" w:type="dxa"/>
              <w:bottom w:w="80" w:type="dxa"/>
              <w:end w:w="100" w:type="dxa"/>
            </w:tcMar>
          </w:tcPr>
          <w:p>
            <w:r>
              <w:rPr>
                <w:b/>
                <w:color w:val="FFFFFF"/>
                <w:sz w:val="16"/>
              </w:rPr>
              <w:t>Tutorial coverage</w:t>
            </w:r>
          </w:p>
        </w:tc>
      </w:tr>
      <w:tr>
        <w:trPr>
          <w:cantSplit/>
        </w:trPr>
        <w:tc>
          <w:tcPr>
            <w:tcW w:type="dxa" w:w="5083"/>
            <w:tcMar>
              <w:top w:w="80" w:type="dxa"/>
              <w:start w:w="100" w:type="dxa"/>
              <w:bottom w:w="80" w:type="dxa"/>
              <w:end w:w="100" w:type="dxa"/>
            </w:tcMar>
            <w:vAlign w:val="top"/>
          </w:tcPr>
          <w:p>
            <w:r>
              <w:rPr>
                <w:sz w:val="16"/>
              </w:rPr>
              <w:t>BenchmarkControlVariate_API_ONLY_FLAT(1).py</w:t>
            </w:r>
          </w:p>
        </w:tc>
        <w:tc>
          <w:tcPr>
            <w:tcW w:type="dxa" w:w="5083"/>
            <w:tcMar>
              <w:top w:w="80" w:type="dxa"/>
              <w:start w:w="100" w:type="dxa"/>
              <w:bottom w:w="80" w:type="dxa"/>
              <w:end w:w="100" w:type="dxa"/>
            </w:tcMar>
            <w:vAlign w:val="top"/>
          </w:tcPr>
          <w:p>
            <w:r>
              <w:rPr>
                <w:sz w:val="16"/>
              </w:rPr>
              <w:t>Vanilla and Asian controls; Call/Put; Black-Scholes and discrete geometric formulas; calibration split; reproducibility.</w:t>
            </w:r>
          </w:p>
        </w:tc>
      </w:tr>
      <w:tr>
        <w:trPr>
          <w:cantSplit/>
        </w:trPr>
        <w:tc>
          <w:tcPr>
            <w:tcW w:type="dxa" w:w="5083"/>
            <w:tcMar>
              <w:top w:w="80" w:type="dxa"/>
              <w:start w:w="100" w:type="dxa"/>
              <w:bottom w:w="80" w:type="dxa"/>
              <w:end w:w="100" w:type="dxa"/>
            </w:tcMar>
            <w:vAlign w:val="top"/>
          </w:tcPr>
          <w:p>
            <w:r>
              <w:rPr>
                <w:sz w:val="16"/>
              </w:rPr>
              <w:t>BenchmarkControlVariateAsian_API_ONLY_FLAT(1).py</w:t>
            </w:r>
          </w:p>
        </w:tc>
        <w:tc>
          <w:tcPr>
            <w:tcW w:type="dxa" w:w="5083"/>
            <w:tcMar>
              <w:top w:w="80" w:type="dxa"/>
              <w:start w:w="100" w:type="dxa"/>
              <w:bottom w:w="80" w:type="dxa"/>
              <w:end w:w="100" w:type="dxa"/>
            </w:tcMar>
            <w:vAlign w:val="top"/>
          </w:tcPr>
          <w:p>
            <w:r>
              <w:rPr>
                <w:sz w:val="16"/>
              </w:rPr>
              <w:t>Dedicated arithmetic-Asian/geometric-Asian control workflow and response diagnostics.</w:t>
            </w:r>
          </w:p>
        </w:tc>
      </w:tr>
      <w:tr>
        <w:trPr>
          <w:cantSplit/>
        </w:trPr>
        <w:tc>
          <w:tcPr>
            <w:tcW w:type="dxa" w:w="5083"/>
            <w:tcMar>
              <w:top w:w="80" w:type="dxa"/>
              <w:start w:w="100" w:type="dxa"/>
              <w:bottom w:w="80" w:type="dxa"/>
              <w:end w:w="100" w:type="dxa"/>
            </w:tcMar>
            <w:vAlign w:val="top"/>
          </w:tcPr>
          <w:p>
            <w:r>
              <w:rPr>
                <w:sz w:val="16"/>
              </w:rPr>
              <w:t>BenchmarkControlVariateAdvanced_API_ONLY_FLAT(1).py</w:t>
            </w:r>
          </w:p>
        </w:tc>
        <w:tc>
          <w:tcPr>
            <w:tcW w:type="dxa" w:w="5083"/>
            <w:tcMar>
              <w:top w:w="80" w:type="dxa"/>
              <w:start w:w="100" w:type="dxa"/>
              <w:bottom w:w="80" w:type="dxa"/>
              <w:end w:w="100" w:type="dxa"/>
            </w:tcMar>
            <w:vAlign w:val="top"/>
          </w:tcPr>
          <w:p>
            <w:r>
              <w:rPr>
                <w:sz w:val="16"/>
              </w:rPr>
              <w:t>Vanilla, Asian, barrier and lookback controls; advanced reproducibility.</w:t>
            </w:r>
          </w:p>
        </w:tc>
      </w:tr>
      <w:tr>
        <w:trPr>
          <w:cantSplit/>
        </w:trPr>
        <w:tc>
          <w:tcPr>
            <w:tcW w:type="dxa" w:w="5083"/>
            <w:tcMar>
              <w:top w:w="80" w:type="dxa"/>
              <w:start w:w="100" w:type="dxa"/>
              <w:bottom w:w="80" w:type="dxa"/>
              <w:end w:w="100" w:type="dxa"/>
            </w:tcMar>
            <w:vAlign w:val="top"/>
          </w:tcPr>
          <w:p>
            <w:r>
              <w:rPr>
                <w:sz w:val="16"/>
              </w:rPr>
              <w:t>BenchmarkSamplers_API_ONLY_FLAT(1).py</w:t>
            </w:r>
          </w:p>
        </w:tc>
        <w:tc>
          <w:tcPr>
            <w:tcW w:type="dxa" w:w="5083"/>
            <w:tcMar>
              <w:top w:w="80" w:type="dxa"/>
              <w:start w:w="100" w:type="dxa"/>
              <w:bottom w:w="80" w:type="dxa"/>
              <w:end w:w="100" w:type="dxa"/>
            </w:tcMar>
            <w:vAlign w:val="top"/>
          </w:tcPr>
          <w:p>
            <w:r>
              <w:rPr>
                <w:sz w:val="16"/>
              </w:rPr>
              <w:t>All 24 RNG/sampler/Wiener combinations, replication statistics and config echo.</w:t>
            </w:r>
          </w:p>
        </w:tc>
      </w:tr>
      <w:tr>
        <w:trPr>
          <w:cantSplit/>
        </w:trPr>
        <w:tc>
          <w:tcPr>
            <w:tcW w:type="dxa" w:w="5083"/>
            <w:tcMar>
              <w:top w:w="80" w:type="dxa"/>
              <w:start w:w="100" w:type="dxa"/>
              <w:bottom w:w="80" w:type="dxa"/>
              <w:end w:w="100" w:type="dxa"/>
            </w:tcMar>
            <w:vAlign w:val="top"/>
          </w:tcPr>
          <w:p>
            <w:r>
              <w:rPr>
                <w:sz w:val="16"/>
              </w:rPr>
              <w:t>BenchmarkAmericanAsian_API_ONLY_FLAT(1).py</w:t>
            </w:r>
          </w:p>
        </w:tc>
        <w:tc>
          <w:tcPr>
            <w:tcW w:type="dxa" w:w="5083"/>
            <w:tcMar>
              <w:top w:w="80" w:type="dxa"/>
              <w:start w:w="100" w:type="dxa"/>
              <w:bottom w:w="80" w:type="dxa"/>
              <w:end w:w="100" w:type="dxa"/>
            </w:tcMar>
            <w:vAlign w:val="top"/>
          </w:tcPr>
          <w:p>
            <w:r>
              <w:rPr>
                <w:sz w:val="16"/>
              </w:rPr>
              <w:t>American arithmetic/geometric Asian calls, references, European cross-check and reproducibility.</w:t>
            </w:r>
          </w:p>
        </w:tc>
      </w:tr>
      <w:tr>
        <w:trPr>
          <w:cantSplit/>
        </w:trPr>
        <w:tc>
          <w:tcPr>
            <w:tcW w:type="dxa" w:w="5083"/>
            <w:tcMar>
              <w:top w:w="80" w:type="dxa"/>
              <w:start w:w="100" w:type="dxa"/>
              <w:bottom w:w="80" w:type="dxa"/>
              <w:end w:w="100" w:type="dxa"/>
            </w:tcMar>
            <w:vAlign w:val="top"/>
          </w:tcPr>
          <w:p>
            <w:r>
              <w:rPr>
                <w:sz w:val="16"/>
              </w:rPr>
              <w:t>BenchmarkAmericanBarrier_API_ONLY_FLAT(1).py</w:t>
            </w:r>
          </w:p>
        </w:tc>
        <w:tc>
          <w:tcPr>
            <w:tcW w:type="dxa" w:w="5083"/>
            <w:tcMar>
              <w:top w:w="80" w:type="dxa"/>
              <w:start w:w="100" w:type="dxa"/>
              <w:bottom w:w="80" w:type="dxa"/>
              <w:end w:w="100" w:type="dxa"/>
            </w:tcMar>
            <w:vAlign w:val="top"/>
          </w:tcPr>
          <w:p>
            <w:r>
              <w:rPr>
                <w:sz w:val="16"/>
              </w:rPr>
              <w:t>European parity/BGK checks and American barrier bounds.</w:t>
            </w:r>
          </w:p>
        </w:tc>
      </w:tr>
      <w:tr>
        <w:trPr>
          <w:cantSplit/>
        </w:trPr>
        <w:tc>
          <w:tcPr>
            <w:tcW w:type="dxa" w:w="5083"/>
            <w:tcMar>
              <w:top w:w="80" w:type="dxa"/>
              <w:start w:w="100" w:type="dxa"/>
              <w:bottom w:w="80" w:type="dxa"/>
              <w:end w:w="100" w:type="dxa"/>
            </w:tcMar>
            <w:vAlign w:val="top"/>
          </w:tcPr>
          <w:p>
            <w:r>
              <w:rPr>
                <w:sz w:val="16"/>
              </w:rPr>
              <w:t>BenchmarkImportanceSampling_API_ONLY_FLAT(1).py</w:t>
            </w:r>
          </w:p>
        </w:tc>
        <w:tc>
          <w:tcPr>
            <w:tcW w:type="dxa" w:w="5083"/>
            <w:tcMar>
              <w:top w:w="80" w:type="dxa"/>
              <w:start w:w="100" w:type="dxa"/>
              <w:bottom w:w="80" w:type="dxa"/>
              <w:end w:w="100" w:type="dxa"/>
            </w:tcMar>
            <w:vAlign w:val="top"/>
          </w:tcPr>
          <w:p>
            <w:r>
              <w:rPr>
                <w:sz w:val="16"/>
              </w:rPr>
              <w:t>General, Asian and barrier-specific importance sampling; reproducibility.</w:t>
            </w:r>
          </w:p>
        </w:tc>
      </w:tr>
      <w:tr>
        <w:trPr>
          <w:cantSplit/>
        </w:trPr>
        <w:tc>
          <w:tcPr>
            <w:tcW w:type="dxa" w:w="5083"/>
            <w:tcMar>
              <w:top w:w="80" w:type="dxa"/>
              <w:start w:w="100" w:type="dxa"/>
              <w:bottom w:w="80" w:type="dxa"/>
              <w:end w:w="100" w:type="dxa"/>
            </w:tcMar>
            <w:vAlign w:val="top"/>
          </w:tcPr>
          <w:p>
            <w:r>
              <w:rPr>
                <w:sz w:val="16"/>
              </w:rPr>
              <w:t>BenchmarkingImportanceSampling_API_ONLY_FLAT(1).py</w:t>
            </w:r>
          </w:p>
        </w:tc>
        <w:tc>
          <w:tcPr>
            <w:tcW w:type="dxa" w:w="5083"/>
            <w:tcMar>
              <w:top w:w="80" w:type="dxa"/>
              <w:start w:w="100" w:type="dxa"/>
              <w:bottom w:w="80" w:type="dxa"/>
              <w:end w:w="100" w:type="dxa"/>
            </w:tcMar>
            <w:vAlign w:val="top"/>
          </w:tcPr>
          <w:p>
            <w:r>
              <w:rPr>
                <w:sz w:val="16"/>
              </w:rPr>
              <w:t>Broad registry coverage across static and barrier rare-event cases.</w:t>
            </w:r>
          </w:p>
        </w:tc>
      </w:tr>
      <w:tr>
        <w:trPr>
          <w:cantSplit/>
        </w:trPr>
        <w:tc>
          <w:tcPr>
            <w:tcW w:type="dxa" w:w="5083"/>
            <w:tcMar>
              <w:top w:w="80" w:type="dxa"/>
              <w:start w:w="100" w:type="dxa"/>
              <w:bottom w:w="80" w:type="dxa"/>
              <w:end w:w="100" w:type="dxa"/>
            </w:tcMar>
            <w:vAlign w:val="top"/>
          </w:tcPr>
          <w:p>
            <w:r>
              <w:rPr>
                <w:sz w:val="16"/>
              </w:rPr>
              <w:t>BenchmarkAmericanBermudanNestedBarriersLookbacks_API_ONLY_FLAT(1).py</w:t>
            </w:r>
          </w:p>
        </w:tc>
        <w:tc>
          <w:tcPr>
            <w:tcW w:type="dxa" w:w="5083"/>
            <w:tcMar>
              <w:top w:w="80" w:type="dxa"/>
              <w:start w:w="100" w:type="dxa"/>
              <w:bottom w:w="80" w:type="dxa"/>
              <w:end w:w="100" w:type="dxa"/>
            </w:tcMar>
            <w:vAlign w:val="top"/>
          </w:tcPr>
          <w:p>
            <w:r>
              <w:rPr>
                <w:sz w:val="16"/>
              </w:rPr>
              <w:t>Native American/Bermudan lookbacks, both nested orders, jumps and stochastic models.</w:t>
            </w:r>
          </w:p>
        </w:tc>
      </w:tr>
      <w:tr>
        <w:trPr>
          <w:cantSplit/>
        </w:trPr>
        <w:tc>
          <w:tcPr>
            <w:tcW w:type="dxa" w:w="5083"/>
            <w:tcMar>
              <w:top w:w="80" w:type="dxa"/>
              <w:start w:w="100" w:type="dxa"/>
              <w:bottom w:w="80" w:type="dxa"/>
              <w:end w:w="100" w:type="dxa"/>
            </w:tcMar>
            <w:vAlign w:val="top"/>
          </w:tcPr>
          <w:p>
            <w:r>
              <w:rPr>
                <w:sz w:val="16"/>
              </w:rPr>
              <w:t>BenchmarkAmericanLSMAdvancedJumps_API_ONLY_FLAT(1).py</w:t>
            </w:r>
          </w:p>
        </w:tc>
        <w:tc>
          <w:tcPr>
            <w:tcW w:type="dxa" w:w="5083"/>
            <w:tcMar>
              <w:top w:w="80" w:type="dxa"/>
              <w:start w:w="100" w:type="dxa"/>
              <w:bottom w:w="80" w:type="dxa"/>
              <w:end w:w="100" w:type="dxa"/>
            </w:tcMar>
            <w:vAlign w:val="top"/>
          </w:tcPr>
          <w:p>
            <w:r>
              <w:rPr>
                <w:sz w:val="16"/>
              </w:rPr>
              <w:t>Exercise ordering, jumps, native lookback ordering, model families and simulation families.</w:t>
            </w:r>
          </w:p>
        </w:tc>
      </w:tr>
    </w:tbl>
    <w:p>
      <w:pPr>
        <w:spacing w:after="40"/>
      </w:pPr>
    </w:p>
    <w:p>
      <w:r>
        <w:br w:type="page"/>
      </w:r>
    </w:p>
    <w:p>
      <w:pPr>
        <w:pStyle w:val="Heading1"/>
      </w:pPr>
      <w:r>
        <w:t>42. American and Bermudan LSM foundations</w:t>
      </w:r>
    </w:p>
    <w:p>
      <w:r>
        <w:t>This chapter turns BenchmarkAmericanLSM_API_ONLY_FLAT.py into a practical workflow for validating early-exercise pricing through the flat price() API. It covers vanilla exercise ordering, the no-dividend American-call identity, native lookback exercise classes, stochastic model families and simulation families.</w:t>
      </w:r>
    </w:p>
    <w:p>
      <w:pPr>
        <w:pStyle w:val="Heading2"/>
      </w:pPr>
      <w:r>
        <w:t>42.1 Exercise ordering</w:t>
      </w:r>
    </w:p>
    <w:p>
      <w:pPr>
        <w:pStyle w:val="NoSpacing"/>
        <w:spacing w:before="60" w:after="120"/>
        <w:ind w:left="259" w:right="72"/>
        <w:shd w:fill="F2F2F2"/>
      </w:pPr>
      <w:r>
        <w:rPr>
          <w:rFonts w:ascii="Consolas" w:hAnsi="Consolas" w:eastAsia="Consolas"/>
          <w:sz w:val="15"/>
        </w:rPr>
        <w:t>from optipricepropandas import price</w:t>
        <w:br/>
        <w:br/>
        <w:t>common = dict(</w:t>
        <w:br/>
        <w:t xml:space="preserve">    underlying="PathIndependentOption",</w:t>
        <w:br/>
        <w:t xml:space="preserve">    wrapper_order="Underlying only",</w:t>
        <w:br/>
        <w:t xml:space="preserve">    S0=100.0, K=100.0, r=0.05, sigma=0.20,</w:t>
        <w:br/>
        <w:t xml:space="preserve">    y=0.0, T=1.0, M=50, N=4000, seed=0,</w:t>
        <w:br/>
        <w:t xml:space="preserve">    regression_degree=3,</w:t>
        <w:br/>
        <w:t xml:space="preserve">    muJ=0.0, sigmaJ=0.10, Lambda=0.0, jumps=False,</w:t>
        <w:br/>
        <w:t xml:space="preserve">    greeks=False, retained_variables=False,</w:t>
        <w:br/>
        <w:t>)</w:t>
        <w:br/>
        <w:br/>
        <w:t>european = price("European", "Put", **common)</w:t>
        <w:br/>
        <w:t>bermudan = price("Bermudan", "Put", num_exercise_points=12, **common)</w:t>
        <w:br/>
        <w:t>american = price("American", "Put", num_exercise_points=50, **common)</w:t>
        <w:br/>
        <w:br/>
        <w:t># Expected within Monte Carlo uncertainty:</w:t>
        <w:br/>
        <w:t># American &gt;= Bermudan &gt;= European</w:t>
      </w:r>
    </w:p>
    <w:p>
      <w:pPr>
        <w:pStyle w:val="ListBullet"/>
      </w:pPr>
      <w:r>
        <w:t>Use num_exercise_points=M for an American approximation with an exercise opportunity at every time step.</w:t>
      </w:r>
    </w:p>
    <w:p>
      <w:pPr>
        <w:pStyle w:val="ListBullet"/>
      </w:pPr>
      <w:r>
        <w:t>Use a smaller value, such as min(12, M), for a Bermudan contract.</w:t>
      </w:r>
    </w:p>
    <w:p>
      <w:pPr>
        <w:pStyle w:val="ListBullet"/>
      </w:pPr>
      <w:r>
        <w:t>For a non-dividend-paying call under standard assumptions, the American and European values should agree within combined Monte Carlo error.</w:t>
      </w:r>
    </w:p>
    <w:p>
      <w:pPr>
        <w:pStyle w:val="Heading2"/>
      </w:pPr>
      <w:r>
        <w:t>42.2 Native lookback exercise ordering</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B4C6E7"/>
          </w:tcPr>
          <w:p>
            <w:r/>
            <w:r>
              <w:rPr>
                <w:b/>
                <w:sz w:val="17"/>
              </w:rPr>
              <w:t>American exercise</w:t>
            </w:r>
          </w:p>
        </w:tc>
        <w:tc>
          <w:tcPr>
            <w:tcW w:type="dxa" w:w="3389"/>
            <w:vAlign w:val="center"/>
            <w:shd w:fill="B4C6E7"/>
          </w:tcPr>
          <w:p>
            <w:r/>
            <w:r>
              <w:rPr>
                <w:b/>
                <w:sz w:val="17"/>
              </w:rPr>
              <w:t>Bermudan exercise</w:t>
            </w:r>
          </w:p>
        </w:tc>
        <w:tc>
          <w:tcPr>
            <w:tcW w:type="dxa" w:w="3389"/>
            <w:vAlign w:val="center"/>
            <w:shd w:fill="B4C6E7"/>
          </w:tcPr>
          <w:p>
            <w:r/>
            <w:r>
              <w:rPr>
                <w:b/>
                <w:sz w:val="17"/>
              </w:rPr>
              <w:t>Lookback</w:t>
            </w:r>
          </w:p>
        </w:tc>
      </w:tr>
      <w:tr>
        <w:tc>
          <w:tcPr>
            <w:tcW w:type="dxa" w:w="3389"/>
            <w:vAlign w:val="center"/>
          </w:tcPr>
          <w:p>
            <w:r/>
            <w:r>
              <w:rPr>
                <w:b w:val="0"/>
                <w:sz w:val="17"/>
              </w:rPr>
              <w:t>LookBackAmericanOptionFixedStrike</w:t>
            </w:r>
          </w:p>
        </w:tc>
        <w:tc>
          <w:tcPr>
            <w:tcW w:type="dxa" w:w="3389"/>
            <w:vAlign w:val="center"/>
          </w:tcPr>
          <w:p>
            <w:r/>
            <w:r>
              <w:rPr>
                <w:b w:val="0"/>
                <w:sz w:val="17"/>
              </w:rPr>
              <w:t>LookbackBermudaOptionFixedStrike</w:t>
            </w:r>
          </w:p>
        </w:tc>
        <w:tc>
          <w:tcPr>
            <w:tcW w:type="dxa" w:w="3389"/>
            <w:vAlign w:val="center"/>
          </w:tcPr>
          <w:p>
            <w:r/>
            <w:r>
              <w:rPr>
                <w:b w:val="0"/>
                <w:sz w:val="17"/>
              </w:rPr>
              <w:t>LookbacksFixedStrike</w:t>
            </w:r>
          </w:p>
        </w:tc>
      </w:tr>
      <w:tr>
        <w:tc>
          <w:tcPr>
            <w:tcW w:type="dxa" w:w="3389"/>
            <w:vAlign w:val="center"/>
          </w:tcPr>
          <w:p>
            <w:r/>
            <w:r>
              <w:rPr>
                <w:b w:val="0"/>
                <w:sz w:val="17"/>
              </w:rPr>
              <w:t>LookBackAmericanOptionFloatingStrike</w:t>
            </w:r>
          </w:p>
        </w:tc>
        <w:tc>
          <w:tcPr>
            <w:tcW w:type="dxa" w:w="3389"/>
            <w:vAlign w:val="center"/>
          </w:tcPr>
          <w:p>
            <w:r/>
            <w:r>
              <w:rPr>
                <w:b w:val="0"/>
                <w:sz w:val="17"/>
              </w:rPr>
              <w:t>LookbackBermudaOptionFloatingStrike</w:t>
            </w:r>
          </w:p>
        </w:tc>
        <w:tc>
          <w:tcPr>
            <w:tcW w:type="dxa" w:w="3389"/>
            <w:vAlign w:val="center"/>
          </w:tcPr>
          <w:p>
            <w:r/>
            <w:r>
              <w:rPr>
                <w:b w:val="0"/>
                <w:sz w:val="17"/>
              </w:rPr>
              <w:t>LookbacksFloatingStrike</w:t>
            </w:r>
          </w:p>
        </w:tc>
      </w:tr>
    </w:tbl>
    <w:p/>
    <w:p>
      <w:pPr>
        <w:pStyle w:val="IntenseQuote"/>
      </w:pPr>
      <w:r>
        <w:rPr>
          <w:i/>
        </w:rPr>
        <w:t>Native lookback exercise classes already contain their lookback structure. Keep wrapper_order="Underlying only" and pass the matching lookback name for compatibility and config_echo traceability.</w:t>
      </w:r>
    </w:p>
    <w:p>
      <w:pPr>
        <w:pStyle w:val="Heading2"/>
      </w:pPr>
      <w:r>
        <w:t>42.3 Model and simulation families</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Family</w:t>
            </w:r>
          </w:p>
        </w:tc>
        <w:tc>
          <w:tcPr>
            <w:tcW w:type="dxa" w:w="5083"/>
            <w:vAlign w:val="center"/>
            <w:shd w:fill="B4C6E7"/>
          </w:tcPr>
          <w:p>
            <w:r/>
            <w:r>
              <w:rPr>
                <w:b/>
                <w:sz w:val="17"/>
              </w:rPr>
              <w:t>API selection</w:t>
            </w:r>
          </w:p>
        </w:tc>
      </w:tr>
      <w:tr>
        <w:tc>
          <w:tcPr>
            <w:tcW w:type="dxa" w:w="5083"/>
            <w:vAlign w:val="center"/>
          </w:tcPr>
          <w:p>
            <w:r/>
            <w:r>
              <w:rPr>
                <w:b w:val="0"/>
                <w:sz w:val="17"/>
              </w:rPr>
              <w:t>Rates</w:t>
            </w:r>
          </w:p>
        </w:tc>
        <w:tc>
          <w:tcPr>
            <w:tcW w:type="dxa" w:w="5083"/>
            <w:vAlign w:val="center"/>
          </w:tcPr>
          <w:p>
            <w:r/>
            <w:r>
              <w:rPr>
                <w:b w:val="0"/>
                <w:sz w:val="17"/>
              </w:rPr>
              <w:t>HoLee, Vasicek, CIR, ExtendedCIR</w:t>
            </w:r>
          </w:p>
        </w:tc>
      </w:tr>
      <w:tr>
        <w:tc>
          <w:tcPr>
            <w:tcW w:type="dxa" w:w="5083"/>
            <w:vAlign w:val="center"/>
          </w:tcPr>
          <w:p>
            <w:r/>
            <w:r>
              <w:rPr>
                <w:b w:val="0"/>
                <w:sz w:val="17"/>
              </w:rPr>
              <w:t>Volatility</w:t>
            </w:r>
          </w:p>
        </w:tc>
        <w:tc>
          <w:tcPr>
            <w:tcW w:type="dxa" w:w="5083"/>
            <w:vAlign w:val="center"/>
          </w:tcPr>
          <w:p>
            <w:r/>
            <w:r>
              <w:rPr>
                <w:b w:val="0"/>
                <w:sz w:val="17"/>
              </w:rPr>
              <w:t>Heston, Bates</w:t>
            </w:r>
          </w:p>
        </w:tc>
      </w:tr>
      <w:tr>
        <w:tc>
          <w:tcPr>
            <w:tcW w:type="dxa" w:w="5083"/>
            <w:vAlign w:val="center"/>
          </w:tcPr>
          <w:p>
            <w:r/>
            <w:r>
              <w:rPr>
                <w:b w:val="0"/>
                <w:sz w:val="17"/>
              </w:rPr>
              <w:t>Dividend</w:t>
            </w:r>
          </w:p>
        </w:tc>
        <w:tc>
          <w:tcPr>
            <w:tcW w:type="dxa" w:w="5083"/>
            <w:vAlign w:val="center"/>
          </w:tcPr>
          <w:p>
            <w:r/>
            <w:r>
              <w:rPr>
                <w:b w:val="0"/>
                <w:sz w:val="17"/>
              </w:rPr>
              <w:t>Stochastic</w:t>
            </w:r>
          </w:p>
        </w:tc>
      </w:tr>
      <w:tr>
        <w:tc>
          <w:tcPr>
            <w:tcW w:type="dxa" w:w="5083"/>
            <w:vAlign w:val="center"/>
          </w:tcPr>
          <w:p>
            <w:r/>
            <w:r>
              <w:rPr>
                <w:b w:val="0"/>
                <w:sz w:val="17"/>
              </w:rPr>
              <w:t>Sentiment</w:t>
            </w:r>
          </w:p>
        </w:tc>
        <w:tc>
          <w:tcPr>
            <w:tcW w:type="dxa" w:w="5083"/>
            <w:vAlign w:val="center"/>
          </w:tcPr>
          <w:p>
            <w:r/>
            <w:r>
              <w:rPr>
                <w:b w:val="0"/>
                <w:sz w:val="17"/>
              </w:rPr>
              <w:t>Stochastic or Jump</w:t>
            </w:r>
          </w:p>
        </w:tc>
      </w:tr>
      <w:tr>
        <w:tc>
          <w:tcPr>
            <w:tcW w:type="dxa" w:w="5083"/>
            <w:vAlign w:val="center"/>
          </w:tcPr>
          <w:p>
            <w:r/>
            <w:r>
              <w:rPr>
                <w:b w:val="0"/>
                <w:sz w:val="17"/>
              </w:rPr>
              <w:t>Sentiment volatility</w:t>
            </w:r>
          </w:p>
        </w:tc>
        <w:tc>
          <w:tcPr>
            <w:tcW w:type="dxa" w:w="5083"/>
            <w:vAlign w:val="center"/>
          </w:tcPr>
          <w:p>
            <w:r/>
            <w:r>
              <w:rPr>
                <w:b w:val="0"/>
                <w:sz w:val="17"/>
              </w:rPr>
              <w:t>Stochastic or Jump</w:t>
            </w:r>
          </w:p>
        </w:tc>
      </w:tr>
    </w:tbl>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B4C6E7"/>
          </w:tcPr>
          <w:p>
            <w:r/>
            <w:r>
              <w:rPr>
                <w:b/>
                <w:sz w:val="17"/>
              </w:rPr>
              <w:t>Random generator</w:t>
            </w:r>
          </w:p>
        </w:tc>
        <w:tc>
          <w:tcPr>
            <w:tcW w:type="dxa" w:w="3389"/>
            <w:vAlign w:val="center"/>
            <w:shd w:fill="B4C6E7"/>
          </w:tcPr>
          <w:p>
            <w:r/>
            <w:r>
              <w:rPr>
                <w:b/>
                <w:sz w:val="17"/>
              </w:rPr>
              <w:t>Sampling</w:t>
            </w:r>
          </w:p>
        </w:tc>
        <w:tc>
          <w:tcPr>
            <w:tcW w:type="dxa" w:w="3389"/>
            <w:vAlign w:val="center"/>
            <w:shd w:fill="B4C6E7"/>
          </w:tcPr>
          <w:p>
            <w:r/>
            <w:r>
              <w:rPr>
                <w:b/>
                <w:sz w:val="17"/>
              </w:rPr>
              <w:t>Wiener</w:t>
            </w:r>
          </w:p>
        </w:tc>
      </w:tr>
      <w:tr>
        <w:tc>
          <w:tcPr>
            <w:tcW w:type="dxa" w:w="3389"/>
            <w:vAlign w:val="center"/>
          </w:tcPr>
          <w:p>
            <w:r/>
            <w:r>
              <w:rPr>
                <w:b w:val="0"/>
                <w:sz w:val="17"/>
              </w:rPr>
              <w:t>Standard</w:t>
            </w:r>
          </w:p>
        </w:tc>
        <w:tc>
          <w:tcPr>
            <w:tcW w:type="dxa" w:w="3389"/>
            <w:vAlign w:val="center"/>
          </w:tcPr>
          <w:p>
            <w:r/>
            <w:r>
              <w:rPr>
                <w:b w:val="0"/>
                <w:sz w:val="17"/>
              </w:rPr>
              <w:t>None</w:t>
            </w:r>
          </w:p>
        </w:tc>
        <w:tc>
          <w:tcPr>
            <w:tcW w:type="dxa" w:w="3389"/>
            <w:vAlign w:val="center"/>
          </w:tcPr>
          <w:p>
            <w:r/>
            <w:r>
              <w:rPr>
                <w:b w:val="0"/>
                <w:sz w:val="17"/>
              </w:rPr>
              <w:t>Antithetic</w:t>
            </w:r>
          </w:p>
        </w:tc>
      </w:tr>
      <w:tr>
        <w:tc>
          <w:tcPr>
            <w:tcW w:type="dxa" w:w="3389"/>
            <w:vAlign w:val="center"/>
          </w:tcPr>
          <w:p>
            <w:r/>
            <w:r>
              <w:rPr>
                <w:b w:val="0"/>
                <w:sz w:val="17"/>
              </w:rPr>
              <w:t>Standard</w:t>
            </w:r>
          </w:p>
        </w:tc>
        <w:tc>
          <w:tcPr>
            <w:tcW w:type="dxa" w:w="3389"/>
            <w:vAlign w:val="center"/>
          </w:tcPr>
          <w:p>
            <w:r/>
            <w:r>
              <w:rPr>
                <w:b w:val="0"/>
                <w:sz w:val="17"/>
              </w:rPr>
              <w:t>None</w:t>
            </w:r>
          </w:p>
        </w:tc>
        <w:tc>
          <w:tcPr>
            <w:tcW w:type="dxa" w:w="3389"/>
            <w:vAlign w:val="center"/>
          </w:tcPr>
          <w:p>
            <w:r/>
            <w:r>
              <w:rPr>
                <w:b w:val="0"/>
                <w:sz w:val="17"/>
              </w:rPr>
              <w:t>BrownianBridge</w:t>
            </w:r>
          </w:p>
        </w:tc>
      </w:tr>
      <w:tr>
        <w:tc>
          <w:tcPr>
            <w:tcW w:type="dxa" w:w="3389"/>
            <w:vAlign w:val="center"/>
          </w:tcPr>
          <w:p>
            <w:r/>
            <w:r>
              <w:rPr>
                <w:b w:val="0"/>
                <w:sz w:val="17"/>
              </w:rPr>
              <w:t>Standard</w:t>
            </w:r>
          </w:p>
        </w:tc>
        <w:tc>
          <w:tcPr>
            <w:tcW w:type="dxa" w:w="3389"/>
            <w:vAlign w:val="center"/>
          </w:tcPr>
          <w:p>
            <w:r/>
            <w:r>
              <w:rPr>
                <w:b w:val="0"/>
                <w:sz w:val="17"/>
              </w:rPr>
              <w:t>None</w:t>
            </w:r>
          </w:p>
        </w:tc>
        <w:tc>
          <w:tcPr>
            <w:tcW w:type="dxa" w:w="3389"/>
            <w:vAlign w:val="center"/>
          </w:tcPr>
          <w:p>
            <w:r/>
            <w:r>
              <w:rPr>
                <w:b w:val="0"/>
                <w:sz w:val="17"/>
              </w:rPr>
              <w:t>MomentMatching</w:t>
            </w:r>
          </w:p>
        </w:tc>
      </w:tr>
      <w:tr>
        <w:tc>
          <w:tcPr>
            <w:tcW w:type="dxa" w:w="3389"/>
            <w:vAlign w:val="center"/>
          </w:tcPr>
          <w:p>
            <w:r/>
            <w:r>
              <w:rPr>
                <w:b w:val="0"/>
                <w:sz w:val="17"/>
              </w:rPr>
              <w:t>Standard</w:t>
            </w:r>
          </w:p>
        </w:tc>
        <w:tc>
          <w:tcPr>
            <w:tcW w:type="dxa" w:w="3389"/>
            <w:vAlign w:val="center"/>
          </w:tcPr>
          <w:p>
            <w:r/>
            <w:r>
              <w:rPr>
                <w:b w:val="0"/>
                <w:sz w:val="17"/>
              </w:rPr>
              <w:t>LatinHypercube</w:t>
            </w:r>
          </w:p>
        </w:tc>
        <w:tc>
          <w:tcPr>
            <w:tcW w:type="dxa" w:w="3389"/>
            <w:vAlign w:val="center"/>
          </w:tcPr>
          <w:p>
            <w:r/>
            <w:r>
              <w:rPr>
                <w:b w:val="0"/>
                <w:sz w:val="17"/>
              </w:rPr>
              <w:t>Vanilla</w:t>
            </w:r>
          </w:p>
        </w:tc>
      </w:tr>
      <w:tr>
        <w:tc>
          <w:tcPr>
            <w:tcW w:type="dxa" w:w="3389"/>
            <w:vAlign w:val="center"/>
          </w:tcPr>
          <w:p>
            <w:r/>
            <w:r>
              <w:rPr>
                <w:b w:val="0"/>
                <w:sz w:val="17"/>
              </w:rPr>
              <w:t>Standard</w:t>
            </w:r>
          </w:p>
        </w:tc>
        <w:tc>
          <w:tcPr>
            <w:tcW w:type="dxa" w:w="3389"/>
            <w:vAlign w:val="center"/>
          </w:tcPr>
          <w:p>
            <w:r/>
            <w:r>
              <w:rPr>
                <w:b w:val="0"/>
                <w:sz w:val="17"/>
              </w:rPr>
              <w:t>Stratification</w:t>
            </w:r>
          </w:p>
        </w:tc>
        <w:tc>
          <w:tcPr>
            <w:tcW w:type="dxa" w:w="3389"/>
            <w:vAlign w:val="center"/>
          </w:tcPr>
          <w:p>
            <w:r/>
            <w:r>
              <w:rPr>
                <w:b w:val="0"/>
                <w:sz w:val="17"/>
              </w:rPr>
              <w:t>Vanilla</w:t>
            </w:r>
          </w:p>
        </w:tc>
      </w:tr>
      <w:tr>
        <w:tc>
          <w:tcPr>
            <w:tcW w:type="dxa" w:w="3389"/>
            <w:vAlign w:val="center"/>
          </w:tcPr>
          <w:p>
            <w:r/>
            <w:r>
              <w:rPr>
                <w:b w:val="0"/>
                <w:sz w:val="17"/>
              </w:rPr>
              <w:t>Quasi</w:t>
            </w:r>
          </w:p>
        </w:tc>
        <w:tc>
          <w:tcPr>
            <w:tcW w:type="dxa" w:w="3389"/>
            <w:vAlign w:val="center"/>
          </w:tcPr>
          <w:p>
            <w:r/>
            <w:r>
              <w:rPr>
                <w:b w:val="0"/>
                <w:sz w:val="17"/>
              </w:rPr>
              <w:t>None</w:t>
            </w:r>
          </w:p>
        </w:tc>
        <w:tc>
          <w:tcPr>
            <w:tcW w:type="dxa" w:w="3389"/>
            <w:vAlign w:val="center"/>
          </w:tcPr>
          <w:p>
            <w:r/>
            <w:r>
              <w:rPr>
                <w:b w:val="0"/>
                <w:sz w:val="17"/>
              </w:rPr>
              <w:t>Vanilla</w:t>
            </w:r>
          </w:p>
        </w:tc>
      </w:tr>
      <w:tr>
        <w:tc>
          <w:tcPr>
            <w:tcW w:type="dxa" w:w="3389"/>
            <w:vAlign w:val="center"/>
          </w:tcPr>
          <w:p>
            <w:r/>
            <w:r>
              <w:rPr>
                <w:b w:val="0"/>
                <w:sz w:val="17"/>
              </w:rPr>
              <w:t>Quasi</w:t>
            </w:r>
          </w:p>
        </w:tc>
        <w:tc>
          <w:tcPr>
            <w:tcW w:type="dxa" w:w="3389"/>
            <w:vAlign w:val="center"/>
          </w:tcPr>
          <w:p>
            <w:r/>
            <w:r>
              <w:rPr>
                <w:b w:val="0"/>
                <w:sz w:val="17"/>
              </w:rPr>
              <w:t>LatinHypercube</w:t>
            </w:r>
          </w:p>
        </w:tc>
        <w:tc>
          <w:tcPr>
            <w:tcW w:type="dxa" w:w="3389"/>
            <w:vAlign w:val="center"/>
          </w:tcPr>
          <w:p>
            <w:r/>
            <w:r>
              <w:rPr>
                <w:b w:val="0"/>
                <w:sz w:val="17"/>
              </w:rPr>
              <w:t>Vanilla</w:t>
            </w:r>
          </w:p>
        </w:tc>
      </w:tr>
      <w:tr>
        <w:tc>
          <w:tcPr>
            <w:tcW w:type="dxa" w:w="3389"/>
            <w:vAlign w:val="center"/>
          </w:tcPr>
          <w:p>
            <w:r/>
            <w:r>
              <w:rPr>
                <w:b w:val="0"/>
                <w:sz w:val="17"/>
              </w:rPr>
              <w:t>Quasi</w:t>
            </w:r>
          </w:p>
        </w:tc>
        <w:tc>
          <w:tcPr>
            <w:tcW w:type="dxa" w:w="3389"/>
            <w:vAlign w:val="center"/>
          </w:tcPr>
          <w:p>
            <w:r/>
            <w:r>
              <w:rPr>
                <w:b w:val="0"/>
                <w:sz w:val="17"/>
              </w:rPr>
              <w:t>Stratification</w:t>
            </w:r>
          </w:p>
        </w:tc>
        <w:tc>
          <w:tcPr>
            <w:tcW w:type="dxa" w:w="3389"/>
            <w:vAlign w:val="center"/>
          </w:tcPr>
          <w:p>
            <w:r/>
            <w:r>
              <w:rPr>
                <w:b w:val="0"/>
                <w:sz w:val="17"/>
              </w:rPr>
              <w:t>Vanilla</w:t>
            </w:r>
          </w:p>
        </w:tc>
      </w:tr>
      <w:tr>
        <w:tc>
          <w:tcPr>
            <w:tcW w:type="dxa" w:w="3389"/>
            <w:vAlign w:val="center"/>
          </w:tcPr>
          <w:p>
            <w:r/>
            <w:r>
              <w:rPr>
                <w:b w:val="0"/>
                <w:sz w:val="17"/>
              </w:rPr>
              <w:t>Quasi</w:t>
            </w:r>
          </w:p>
        </w:tc>
        <w:tc>
          <w:tcPr>
            <w:tcW w:type="dxa" w:w="3389"/>
            <w:vAlign w:val="center"/>
          </w:tcPr>
          <w:p>
            <w:r/>
            <w:r>
              <w:rPr>
                <w:b w:val="0"/>
                <w:sz w:val="17"/>
              </w:rPr>
              <w:t>None</w:t>
            </w:r>
          </w:p>
        </w:tc>
        <w:tc>
          <w:tcPr>
            <w:tcW w:type="dxa" w:w="3389"/>
            <w:vAlign w:val="center"/>
          </w:tcPr>
          <w:p>
            <w:r/>
            <w:r>
              <w:rPr>
                <w:b w:val="0"/>
                <w:sz w:val="17"/>
              </w:rPr>
              <w:t>BrownianBridge</w:t>
            </w:r>
          </w:p>
        </w:tc>
      </w:tr>
    </w:tbl>
    <w:p/>
    <w:p>
      <w:pPr>
        <w:pStyle w:val="IntenseQuote"/>
      </w:pPr>
      <w:r>
        <w:rPr>
          <w:i/>
        </w:rPr>
        <w:t>Any Quasi, sampler, or non-Vanilla Wiener configuration requires num_repetitions &gt;= 2. The benchmark uses eight repetitions.</w:t>
      </w:r>
    </w:p>
    <w:p>
      <w:pPr>
        <w:pStyle w:val="Heading1"/>
      </w:pPr>
      <w:r>
        <w:t>43. American and Bermudan barriers with jumps</w:t>
      </w:r>
    </w:p>
    <w:p>
      <w:r>
        <w:t>BenchmarkAmericanBarriersJumps_API_ONLY_FLAT.py combines early exercise, barriers, optional stock jumps, stochastic models and variance-reduction methods.</w:t>
      </w:r>
    </w:p>
    <w:p>
      <w:pPr>
        <w:pStyle w:val="Heading2"/>
      </w:pPr>
      <w:r>
        <w:t>43.1 American/Bermudan ordering under jumps</w:t>
      </w:r>
    </w:p>
    <w:p>
      <w:pPr>
        <w:pStyle w:val="NoSpacing"/>
        <w:spacing w:before="60" w:after="120"/>
        <w:ind w:left="259" w:right="72"/>
        <w:shd w:fill="F2F2F2"/>
      </w:pPr>
      <w:r>
        <w:rPr>
          <w:rFonts w:ascii="Consolas" w:hAnsi="Consolas" w:eastAsia="Consolas"/>
          <w:sz w:val="15"/>
        </w:rPr>
        <w:t>jump = dict(muJ=0.0, sigmaJ=0.10, Lambda=0.50, jumps=True)</w:t>
        <w:br/>
        <w:br/>
        <w:t>american = price(</w:t>
        <w:br/>
        <w:t xml:space="preserve">    "American", "Put",</w:t>
        <w:br/>
        <w:t xml:space="preserve">    underlying="PathIndependentOption",</w:t>
        <w:br/>
        <w:t xml:space="preserve">    wrapper_order="Underlying only",</w:t>
        <w:br/>
        <w:t xml:space="preserve">    S0=100, K=100, r=0.05, sigma=0.20, y=0, T=1,</w:t>
        <w:br/>
        <w:t xml:space="preserve">    M=50, N=10000, seed=0,</w:t>
        <w:br/>
        <w:t xml:space="preserve">    regression_degree=3, num_exercise_points=50,</w:t>
        <w:br/>
        <w:t xml:space="preserve">    **jump,</w:t>
        <w:br/>
        <w:t>)</w:t>
        <w:br/>
        <w:br/>
        <w:t>bermudan = price(</w:t>
        <w:br/>
        <w:t xml:space="preserve">    "Bermudan", "Put",</w:t>
        <w:br/>
        <w:t xml:space="preserve">    underlying="PathIndependentOption",</w:t>
        <w:br/>
        <w:t xml:space="preserve">    wrapper_order="Underlying only",</w:t>
        <w:br/>
        <w:t xml:space="preserve">    S0=100, K=100, r=0.05, sigma=0.20, y=0, T=1,</w:t>
        <w:br/>
        <w:t xml:space="preserve">    M=50, N=10000, seed=0,</w:t>
        <w:br/>
        <w:t xml:space="preserve">    regression_degree=3, num_exercise_points=12,</w:t>
        <w:br/>
        <w:t xml:space="preserve">    **jump,</w:t>
        <w:br/>
        <w:t>)</w:t>
      </w:r>
    </w:p>
    <w:p>
      <w:pPr>
        <w:pStyle w:val="Heading2"/>
      </w:pPr>
      <w:r>
        <w:t>43.2 American barrier in/out parity</w:t>
      </w:r>
    </w:p>
    <w:p>
      <w:pPr>
        <w:pStyle w:val="NoSpacing"/>
        <w:spacing w:before="60" w:after="120"/>
        <w:ind w:left="259" w:right="72"/>
        <w:shd w:fill="F2F2F2"/>
      </w:pPr>
      <w:r>
        <w:rPr>
          <w:rFonts w:ascii="Consolas" w:hAnsi="Consolas" w:eastAsia="Consolas"/>
          <w:sz w:val="15"/>
        </w:rPr>
        <w:t>common = dict(</w:t>
        <w:br/>
        <w:t xml:space="preserve">    exercise="American", option_type="Call",</w:t>
        <w:br/>
        <w:t xml:space="preserve">    underlying="PathIndependentOption",</w:t>
        <w:br/>
        <w:t xml:space="preserve">    wrapper_order="Barrier on underlying",</w:t>
        <w:br/>
        <w:t xml:space="preserve">    up_barrier=120.0, down_barrier=85.0,</w:t>
        <w:br/>
        <w:t xml:space="preserve">    rebate_in=1.0, rebate_out=0.0,</w:t>
        <w:br/>
        <w:t xml:space="preserve">    S0=100, K=100, r=0.05, sigma=0.20, y=0, T=1,</w:t>
        <w:br/>
        <w:t xml:space="preserve">    M=50, N=10000, seed=0,</w:t>
        <w:br/>
        <w:t xml:space="preserve">    regression_degree=3, num_exercise_points=50,</w:t>
        <w:br/>
        <w:t xml:space="preserve">    muJ=0.0, sigmaJ=0.10, Lambda=0.50, jumps=True,</w:t>
        <w:br/>
        <w:t>)</w:t>
        <w:br/>
        <w:br/>
        <w:t>down_out = price(barrier="DownAndOutBarrier", **common)</w:t>
        <w:br/>
        <w:t>down_in  = price(barrier="DownAndInBarrier", **common)</w:t>
      </w:r>
    </w:p>
    <w:p>
      <w:pPr>
        <w:pStyle w:val="ListBullet"/>
      </w:pPr>
      <w:r>
        <w:t>Compare down_out + down_in with the otherwise identical American vanilla call.</w:t>
      </w:r>
    </w:p>
    <w:p>
      <w:pPr>
        <w:pStyle w:val="ListBullet"/>
      </w:pPr>
      <w:r>
        <w:t>Use the root-sum-square of all reported standard errors when judging parity.</w:t>
      </w:r>
    </w:p>
    <w:p>
      <w:pPr>
        <w:pStyle w:val="ListBullet"/>
      </w:pPr>
      <w:r>
        <w:t>The benchmark also activates Vasicek, CIR, Heston and Bates models on Bermudan barriers.</w:t>
      </w:r>
    </w:p>
    <w:p>
      <w:pPr>
        <w:pStyle w:val="ListBullet"/>
      </w:pPr>
      <w:r>
        <w:t>Supported simulation examples include Antithetic, Latin Hypercube, Stratification and Quasi plus Brownian Bridge.</w:t>
      </w:r>
    </w:p>
    <w:p>
      <w:pPr>
        <w:pStyle w:val="Heading1"/>
      </w:pPr>
      <w:r>
        <w:t>44. Medvedev-Scaillet Table 3 benchmark</w:t>
      </w:r>
    </w:p>
    <w:p>
      <w:r>
        <w:t>This benchmark prices American puts with stochastic volatility and CIR rates across four parameter panels, three spot levels and three maturities. It is designed as a research-grade replication workflow rather than a single pricing example.</w:t>
      </w:r>
    </w:p>
    <w:p>
      <w:pPr>
        <w:pStyle w:val="Heading2"/>
      </w:pPr>
      <w:r>
        <w:t>44.1 Model setup</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Quantity</w:t>
            </w:r>
          </w:p>
        </w:tc>
        <w:tc>
          <w:tcPr>
            <w:tcW w:type="dxa" w:w="5083"/>
            <w:vAlign w:val="center"/>
            <w:shd w:fill="B4C6E7"/>
          </w:tcPr>
          <w:p>
            <w:r/>
            <w:r>
              <w:rPr>
                <w:b/>
                <w:sz w:val="17"/>
              </w:rPr>
              <w:t>Value / interpretation</w:t>
            </w:r>
          </w:p>
        </w:tc>
      </w:tr>
      <w:tr>
        <w:tc>
          <w:tcPr>
            <w:tcW w:type="dxa" w:w="5083"/>
            <w:vAlign w:val="center"/>
          </w:tcPr>
          <w:p>
            <w:r/>
            <w:r>
              <w:rPr>
                <w:b w:val="0"/>
                <w:sz w:val="17"/>
              </w:rPr>
              <w:t>Initial spot</w:t>
            </w:r>
          </w:p>
        </w:tc>
        <w:tc>
          <w:tcPr>
            <w:tcW w:type="dxa" w:w="5083"/>
            <w:vAlign w:val="center"/>
          </w:tcPr>
          <w:p>
            <w:r/>
            <w:r>
              <w:rPr>
                <w:b w:val="0"/>
                <w:sz w:val="17"/>
              </w:rPr>
              <w:t>100</w:t>
            </w:r>
          </w:p>
        </w:tc>
      </w:tr>
      <w:tr>
        <w:tc>
          <w:tcPr>
            <w:tcW w:type="dxa" w:w="5083"/>
            <w:vAlign w:val="center"/>
          </w:tcPr>
          <w:p>
            <w:r/>
            <w:r>
              <w:rPr>
                <w:b w:val="0"/>
                <w:sz w:val="17"/>
              </w:rPr>
              <w:t>Initial rate</w:t>
            </w:r>
          </w:p>
        </w:tc>
        <w:tc>
          <w:tcPr>
            <w:tcW w:type="dxa" w:w="5083"/>
            <w:vAlign w:val="center"/>
          </w:tcPr>
          <w:p>
            <w:r/>
            <w:r>
              <w:rPr>
                <w:b w:val="0"/>
                <w:sz w:val="17"/>
              </w:rPr>
              <w:t>0.04</w:t>
            </w:r>
          </w:p>
        </w:tc>
      </w:tr>
      <w:tr>
        <w:tc>
          <w:tcPr>
            <w:tcW w:type="dxa" w:w="5083"/>
            <w:vAlign w:val="center"/>
          </w:tcPr>
          <w:p>
            <w:r/>
            <w:r>
              <w:rPr>
                <w:b w:val="0"/>
                <w:sz w:val="17"/>
              </w:rPr>
              <w:t>Long-run variance</w:t>
            </w:r>
          </w:p>
        </w:tc>
        <w:tc>
          <w:tcPr>
            <w:tcW w:type="dxa" w:w="5083"/>
            <w:vAlign w:val="center"/>
          </w:tcPr>
          <w:p>
            <w:r/>
            <w:r>
              <w:rPr>
                <w:b w:val="0"/>
                <w:sz w:val="17"/>
              </w:rPr>
              <w:t>0.02</w:t>
            </w:r>
          </w:p>
        </w:tc>
      </w:tr>
      <w:tr>
        <w:tc>
          <w:tcPr>
            <w:tcW w:type="dxa" w:w="5083"/>
            <w:vAlign w:val="center"/>
          </w:tcPr>
          <w:p>
            <w:r/>
            <w:r>
              <w:rPr>
                <w:b w:val="0"/>
                <w:sz w:val="17"/>
              </w:rPr>
              <w:t>CIR mean reversion</w:t>
            </w:r>
          </w:p>
        </w:tc>
        <w:tc>
          <w:tcPr>
            <w:tcW w:type="dxa" w:w="5083"/>
            <w:vAlign w:val="center"/>
          </w:tcPr>
          <w:p>
            <w:r/>
            <w:r>
              <w:rPr>
                <w:b w:val="0"/>
                <w:sz w:val="17"/>
              </w:rPr>
              <w:t>0.30</w:t>
            </w:r>
          </w:p>
        </w:tc>
      </w:tr>
      <w:tr>
        <w:tc>
          <w:tcPr>
            <w:tcW w:type="dxa" w:w="5083"/>
            <w:vAlign w:val="center"/>
          </w:tcPr>
          <w:p>
            <w:r/>
            <w:r>
              <w:rPr>
                <w:b w:val="0"/>
                <w:sz w:val="17"/>
              </w:rPr>
              <w:t>CIR long-run rate</w:t>
            </w:r>
          </w:p>
        </w:tc>
        <w:tc>
          <w:tcPr>
            <w:tcW w:type="dxa" w:w="5083"/>
            <w:vAlign w:val="center"/>
          </w:tcPr>
          <w:p>
            <w:r/>
            <w:r>
              <w:rPr>
                <w:b w:val="0"/>
                <w:sz w:val="17"/>
              </w:rPr>
              <w:t>0.04</w:t>
            </w:r>
          </w:p>
        </w:tc>
      </w:tr>
      <w:tr>
        <w:tc>
          <w:tcPr>
            <w:tcW w:type="dxa" w:w="5083"/>
            <w:vAlign w:val="center"/>
          </w:tcPr>
          <w:p>
            <w:r/>
            <w:r>
              <w:rPr>
                <w:b w:val="0"/>
                <w:sz w:val="17"/>
              </w:rPr>
              <w:t>CIR volatility</w:t>
            </w:r>
          </w:p>
        </w:tc>
        <w:tc>
          <w:tcPr>
            <w:tcW w:type="dxa" w:w="5083"/>
            <w:vAlign w:val="center"/>
          </w:tcPr>
          <w:p>
            <w:r/>
            <w:r>
              <w:rPr>
                <w:b w:val="0"/>
                <w:sz w:val="17"/>
              </w:rPr>
              <w:t>0.10</w:t>
            </w:r>
          </w:p>
        </w:tc>
      </w:tr>
      <w:tr>
        <w:tc>
          <w:tcPr>
            <w:tcW w:type="dxa" w:w="5083"/>
            <w:vAlign w:val="center"/>
          </w:tcPr>
          <w:p>
            <w:r/>
            <w:r>
              <w:rPr>
                <w:b w:val="0"/>
                <w:sz w:val="17"/>
              </w:rPr>
              <w:t>Spots / strikes</w:t>
            </w:r>
          </w:p>
        </w:tc>
        <w:tc>
          <w:tcPr>
            <w:tcW w:type="dxa" w:w="5083"/>
            <w:vAlign w:val="center"/>
          </w:tcPr>
          <w:p>
            <w:r/>
            <w:r>
              <w:rPr>
                <w:b w:val="0"/>
                <w:sz w:val="17"/>
              </w:rPr>
              <w:t>90, 100, 110</w:t>
            </w:r>
          </w:p>
        </w:tc>
      </w:tr>
      <w:tr>
        <w:tc>
          <w:tcPr>
            <w:tcW w:type="dxa" w:w="5083"/>
            <w:vAlign w:val="center"/>
          </w:tcPr>
          <w:p>
            <w:r/>
            <w:r>
              <w:rPr>
                <w:b w:val="0"/>
                <w:sz w:val="17"/>
              </w:rPr>
              <w:t>Maturities</w:t>
            </w:r>
          </w:p>
        </w:tc>
        <w:tc>
          <w:tcPr>
            <w:tcW w:type="dxa" w:w="5083"/>
            <w:vAlign w:val="center"/>
          </w:tcPr>
          <w:p>
            <w:r/>
            <w:r>
              <w:rPr>
                <w:b w:val="0"/>
                <w:sz w:val="17"/>
              </w:rPr>
              <w:t>1/12, 1/4, 1/2</w:t>
            </w:r>
          </w:p>
        </w:tc>
      </w:tr>
    </w:tbl>
    <w:p/>
    <w:tbl>
      <w:tblPr>
        <w:tblStyle w:val="TableGrid"/>
        <w:tblW w:type="auto" w:w="0"/>
        <w:jc w:val="center"/>
        <w:tblLook w:firstColumn="1" w:firstRow="1" w:lastColumn="0" w:lastRow="0" w:noHBand="0" w:noVBand="1" w:val="04A0"/>
      </w:tblPr>
      <w:tblGrid>
        <w:gridCol w:w="2033"/>
        <w:gridCol w:w="2033"/>
        <w:gridCol w:w="2033"/>
        <w:gridCol w:w="2033"/>
        <w:gridCol w:w="2033"/>
      </w:tblGrid>
      <w:tr>
        <w:tc>
          <w:tcPr>
            <w:tcW w:type="dxa" w:w="2033"/>
            <w:vAlign w:val="center"/>
            <w:shd w:fill="B4C6E7"/>
          </w:tcPr>
          <w:p>
            <w:r/>
            <w:r>
              <w:rPr>
                <w:b/>
                <w:sz w:val="17"/>
              </w:rPr>
              <w:t>Panel</w:t>
            </w:r>
          </w:p>
        </w:tc>
        <w:tc>
          <w:tcPr>
            <w:tcW w:type="dxa" w:w="2033"/>
            <w:vAlign w:val="center"/>
            <w:shd w:fill="B4C6E7"/>
          </w:tcPr>
          <w:p>
            <w:r/>
            <w:r>
              <w:rPr>
                <w:b/>
                <w:sz w:val="17"/>
              </w:rPr>
              <w:t>Initial variance</w:t>
            </w:r>
          </w:p>
        </w:tc>
        <w:tc>
          <w:tcPr>
            <w:tcW w:type="dxa" w:w="2033"/>
            <w:vAlign w:val="center"/>
            <w:shd w:fill="B4C6E7"/>
          </w:tcPr>
          <w:p>
            <w:r/>
            <w:r>
              <w:rPr>
                <w:b/>
                <w:sz w:val="17"/>
              </w:rPr>
              <w:t>Vol mean reversion</w:t>
            </w:r>
          </w:p>
        </w:tc>
        <w:tc>
          <w:tcPr>
            <w:tcW w:type="dxa" w:w="2033"/>
            <w:vAlign w:val="center"/>
            <w:shd w:fill="B4C6E7"/>
          </w:tcPr>
          <w:p>
            <w:r/>
            <w:r>
              <w:rPr>
                <w:b/>
                <w:sz w:val="17"/>
              </w:rPr>
              <w:t>Vol-of-vol</w:t>
            </w:r>
          </w:p>
        </w:tc>
        <w:tc>
          <w:tcPr>
            <w:tcW w:type="dxa" w:w="2033"/>
            <w:vAlign w:val="center"/>
            <w:shd w:fill="B4C6E7"/>
          </w:tcPr>
          <w:p>
            <w:r/>
            <w:r>
              <w:rPr>
                <w:b/>
                <w:sz w:val="17"/>
              </w:rPr>
              <w:t>Stock/variance correlation</w:t>
            </w:r>
          </w:p>
        </w:tc>
      </w:tr>
      <w:tr>
        <w:tc>
          <w:tcPr>
            <w:tcW w:type="dxa" w:w="2033"/>
            <w:vAlign w:val="center"/>
          </w:tcPr>
          <w:p>
            <w:r/>
            <w:r>
              <w:rPr>
                <w:b w:val="0"/>
                <w:sz w:val="17"/>
              </w:rPr>
              <w:t>1</w:t>
            </w:r>
          </w:p>
        </w:tc>
        <w:tc>
          <w:tcPr>
            <w:tcW w:type="dxa" w:w="2033"/>
            <w:vAlign w:val="center"/>
          </w:tcPr>
          <w:p>
            <w:r/>
            <w:r>
              <w:rPr>
                <w:b w:val="0"/>
                <w:sz w:val="17"/>
              </w:rPr>
              <w:t>0.01</w:t>
            </w:r>
          </w:p>
        </w:tc>
        <w:tc>
          <w:tcPr>
            <w:tcW w:type="dxa" w:w="2033"/>
            <w:vAlign w:val="center"/>
          </w:tcPr>
          <w:p>
            <w:r/>
            <w:r>
              <w:rPr>
                <w:b w:val="0"/>
                <w:sz w:val="17"/>
              </w:rPr>
              <w:t>1.50</w:t>
            </w:r>
          </w:p>
        </w:tc>
        <w:tc>
          <w:tcPr>
            <w:tcW w:type="dxa" w:w="2033"/>
            <w:vAlign w:val="center"/>
          </w:tcPr>
          <w:p>
            <w:r/>
            <w:r>
              <w:rPr>
                <w:b w:val="0"/>
                <w:sz w:val="17"/>
              </w:rPr>
              <w:t>0.15</w:t>
            </w:r>
          </w:p>
        </w:tc>
        <w:tc>
          <w:tcPr>
            <w:tcW w:type="dxa" w:w="2033"/>
            <w:vAlign w:val="center"/>
          </w:tcPr>
          <w:p>
            <w:r/>
            <w:r>
              <w:rPr>
                <w:b w:val="0"/>
                <w:sz w:val="17"/>
              </w:rPr>
              <w:t>0.10</w:t>
            </w:r>
          </w:p>
        </w:tc>
      </w:tr>
      <w:tr>
        <w:tc>
          <w:tcPr>
            <w:tcW w:type="dxa" w:w="2033"/>
            <w:vAlign w:val="center"/>
          </w:tcPr>
          <w:p>
            <w:r/>
            <w:r>
              <w:rPr>
                <w:b w:val="0"/>
                <w:sz w:val="17"/>
              </w:rPr>
              <w:t>2</w:t>
            </w:r>
          </w:p>
        </w:tc>
        <w:tc>
          <w:tcPr>
            <w:tcW w:type="dxa" w:w="2033"/>
            <w:vAlign w:val="center"/>
          </w:tcPr>
          <w:p>
            <w:r/>
            <w:r>
              <w:rPr>
                <w:b w:val="0"/>
                <w:sz w:val="17"/>
              </w:rPr>
              <w:t>0.04</w:t>
            </w:r>
          </w:p>
        </w:tc>
        <w:tc>
          <w:tcPr>
            <w:tcW w:type="dxa" w:w="2033"/>
            <w:vAlign w:val="center"/>
          </w:tcPr>
          <w:p>
            <w:r/>
            <w:r>
              <w:rPr>
                <w:b w:val="0"/>
                <w:sz w:val="17"/>
              </w:rPr>
              <w:t>0.75</w:t>
            </w:r>
          </w:p>
        </w:tc>
        <w:tc>
          <w:tcPr>
            <w:tcW w:type="dxa" w:w="2033"/>
            <w:vAlign w:val="center"/>
          </w:tcPr>
          <w:p>
            <w:r/>
            <w:r>
              <w:rPr>
                <w:b w:val="0"/>
                <w:sz w:val="17"/>
              </w:rPr>
              <w:t>0.30</w:t>
            </w:r>
          </w:p>
        </w:tc>
        <w:tc>
          <w:tcPr>
            <w:tcW w:type="dxa" w:w="2033"/>
            <w:vAlign w:val="center"/>
          </w:tcPr>
          <w:p>
            <w:r/>
            <w:r>
              <w:rPr>
                <w:b w:val="0"/>
                <w:sz w:val="17"/>
              </w:rPr>
              <w:t>0.10</w:t>
            </w:r>
          </w:p>
        </w:tc>
      </w:tr>
      <w:tr>
        <w:tc>
          <w:tcPr>
            <w:tcW w:type="dxa" w:w="2033"/>
            <w:vAlign w:val="center"/>
          </w:tcPr>
          <w:p>
            <w:r/>
            <w:r>
              <w:rPr>
                <w:b w:val="0"/>
                <w:sz w:val="17"/>
              </w:rPr>
              <w:t>3</w:t>
            </w:r>
          </w:p>
        </w:tc>
        <w:tc>
          <w:tcPr>
            <w:tcW w:type="dxa" w:w="2033"/>
            <w:vAlign w:val="center"/>
          </w:tcPr>
          <w:p>
            <w:r/>
            <w:r>
              <w:rPr>
                <w:b w:val="0"/>
                <w:sz w:val="17"/>
              </w:rPr>
              <w:t>0.04</w:t>
            </w:r>
          </w:p>
        </w:tc>
        <w:tc>
          <w:tcPr>
            <w:tcW w:type="dxa" w:w="2033"/>
            <w:vAlign w:val="center"/>
          </w:tcPr>
          <w:p>
            <w:r/>
            <w:r>
              <w:rPr>
                <w:b w:val="0"/>
                <w:sz w:val="17"/>
              </w:rPr>
              <w:t>1.50</w:t>
            </w:r>
          </w:p>
        </w:tc>
        <w:tc>
          <w:tcPr>
            <w:tcW w:type="dxa" w:w="2033"/>
            <w:vAlign w:val="center"/>
          </w:tcPr>
          <w:p>
            <w:r/>
            <w:r>
              <w:rPr>
                <w:b w:val="0"/>
                <w:sz w:val="17"/>
              </w:rPr>
              <w:t>0.30</w:t>
            </w:r>
          </w:p>
        </w:tc>
        <w:tc>
          <w:tcPr>
            <w:tcW w:type="dxa" w:w="2033"/>
            <w:vAlign w:val="center"/>
          </w:tcPr>
          <w:p>
            <w:r/>
            <w:r>
              <w:rPr>
                <w:b w:val="0"/>
                <w:sz w:val="17"/>
              </w:rPr>
              <w:t>0.10</w:t>
            </w:r>
          </w:p>
        </w:tc>
      </w:tr>
      <w:tr>
        <w:tc>
          <w:tcPr>
            <w:tcW w:type="dxa" w:w="2033"/>
            <w:vAlign w:val="center"/>
          </w:tcPr>
          <w:p>
            <w:r/>
            <w:r>
              <w:rPr>
                <w:b w:val="0"/>
                <w:sz w:val="17"/>
              </w:rPr>
              <w:t>4</w:t>
            </w:r>
          </w:p>
        </w:tc>
        <w:tc>
          <w:tcPr>
            <w:tcW w:type="dxa" w:w="2033"/>
            <w:vAlign w:val="center"/>
          </w:tcPr>
          <w:p>
            <w:r/>
            <w:r>
              <w:rPr>
                <w:b w:val="0"/>
                <w:sz w:val="17"/>
              </w:rPr>
              <w:t>0.04</w:t>
            </w:r>
          </w:p>
        </w:tc>
        <w:tc>
          <w:tcPr>
            <w:tcW w:type="dxa" w:w="2033"/>
            <w:vAlign w:val="center"/>
          </w:tcPr>
          <w:p>
            <w:r/>
            <w:r>
              <w:rPr>
                <w:b w:val="0"/>
                <w:sz w:val="17"/>
              </w:rPr>
              <w:t>1.50</w:t>
            </w:r>
          </w:p>
        </w:tc>
        <w:tc>
          <w:tcPr>
            <w:tcW w:type="dxa" w:w="2033"/>
            <w:vAlign w:val="center"/>
          </w:tcPr>
          <w:p>
            <w:r/>
            <w:r>
              <w:rPr>
                <w:b w:val="0"/>
                <w:sz w:val="17"/>
              </w:rPr>
              <w:t>0.15</w:t>
            </w:r>
          </w:p>
        </w:tc>
        <w:tc>
          <w:tcPr>
            <w:tcW w:type="dxa" w:w="2033"/>
            <w:vAlign w:val="center"/>
          </w:tcPr>
          <w:p>
            <w:r/>
            <w:r>
              <w:rPr>
                <w:b w:val="0"/>
                <w:sz w:val="17"/>
              </w:rPr>
              <w:t>-0.50</w:t>
            </w:r>
          </w:p>
        </w:tc>
      </w:tr>
    </w:tbl>
    <w:p/>
    <w:p>
      <w:pPr>
        <w:pStyle w:val="Heading2"/>
      </w:pPr>
      <w:r>
        <w:t>44.2 Flat API request</w:t>
      </w:r>
    </w:p>
    <w:p>
      <w:pPr>
        <w:pStyle w:val="NoSpacing"/>
        <w:spacing w:before="60" w:after="120"/>
        <w:ind w:left="259" w:right="72"/>
        <w:shd w:fill="F2F2F2"/>
      </w:pPr>
      <w:r>
        <w:rPr>
          <w:rFonts w:ascii="Consolas" w:hAnsi="Consolas" w:eastAsia="Consolas"/>
          <w:sz w:val="15"/>
        </w:rPr>
        <w:t>result = price(</w:t>
        <w:br/>
        <w:t xml:space="preserve">    "American", "Put",</w:t>
        <w:br/>
        <w:t xml:space="preserve">    underlying="PathIndependentOption",</w:t>
        <w:br/>
        <w:t xml:space="preserve">    wrapper_order="Underlying only",</w:t>
        <w:br/>
        <w:t xml:space="preserve">    S0=100.0, K=100.0, r=0.04, sigma=math.sqrt(initial_variance),</w:t>
        <w:br/>
        <w:t xml:space="preserve">    y=0.0, T=0.25, M=50, N=10000, seed=0,</w:t>
        <w:br/>
        <w:t xml:space="preserve">    regression_degree=5, num_exercise_points=50,</w:t>
        <w:br/>
        <w:t xml:space="preserve">    rate_model="CIR", sigma_R=0.10, rate_a=0.30, rate_b=0.04,</w:t>
        <w:br/>
        <w:t xml:space="preserve">    volatility_model="Heston",</w:t>
        <w:br/>
        <w:t xml:space="preserve">    gamma=vol_of_vol, kappa=vol_mean_reversion, theta=0.02,</w:t>
        <w:br/>
        <w:t xml:space="preserve">    correlation3=[</w:t>
        <w:br/>
        <w:t xml:space="preserve">        [1.0, rho_sv, 0.0],</w:t>
        <w:br/>
        <w:t xml:space="preserve">        [rho_sv, 1.0, 0.0],</w:t>
        <w:br/>
        <w:t xml:space="preserve">        [0.0, 0.0, 1.0],</w:t>
        <w:br/>
        <w:t xml:space="preserve">    ],</w:t>
        <w:br/>
        <w:t xml:space="preserve">    greeks=False, retained_variables=False,</w:t>
        <w:br/>
        <w:t>)</w:t>
      </w:r>
    </w:p>
    <w:p>
      <w:pPr>
        <w:pStyle w:val="ListBullet"/>
      </w:pPr>
      <w:r>
        <w:t>Loop over panel, strike/spot and maturity to reconstruct the entire paper table.</w:t>
      </w:r>
    </w:p>
    <w:p>
      <w:pPr>
        <w:pStyle w:val="ListBullet"/>
      </w:pPr>
      <w:r>
        <w:t>Compare both American and European values where the source table provides them.</w:t>
      </w:r>
    </w:p>
    <w:p>
      <w:pPr>
        <w:pStyle w:val="ListBullet"/>
      </w:pPr>
      <w:r>
        <w:t>The strict flag controls whether benchmark mismatches fail immediately or are reported as warnings.</w:t>
      </w:r>
    </w:p>
    <w:p>
      <w:pPr>
        <w:pStyle w:val="Heading1"/>
      </w:pPr>
      <w:r>
        <w:t>45. Native American and Bermudan lookbacks with stock jumps</w:t>
      </w:r>
    </w:p>
    <w:p>
      <w:r>
        <w:t>BenchmarkAmericanLookbacksJumps_API_ONLY_FLAT_NATIVE.py builds a broad catalogue across native lookback products, three underlyings, both calls and puts, and seven model configurations, always with a stock-jump leg.</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Dimension</w:t>
            </w:r>
          </w:p>
        </w:tc>
        <w:tc>
          <w:tcPr>
            <w:tcW w:type="dxa" w:w="5083"/>
            <w:vAlign w:val="center"/>
            <w:shd w:fill="B4C6E7"/>
          </w:tcPr>
          <w:p>
            <w:r/>
            <w:r>
              <w:rPr>
                <w:b/>
                <w:sz w:val="17"/>
              </w:rPr>
              <w:t>Values</w:t>
            </w:r>
          </w:p>
        </w:tc>
      </w:tr>
      <w:tr>
        <w:tc>
          <w:tcPr>
            <w:tcW w:type="dxa" w:w="5083"/>
            <w:vAlign w:val="center"/>
          </w:tcPr>
          <w:p>
            <w:r/>
            <w:r>
              <w:rPr>
                <w:b w:val="0"/>
                <w:sz w:val="17"/>
              </w:rPr>
              <w:t>Exercise</w:t>
            </w:r>
          </w:p>
        </w:tc>
        <w:tc>
          <w:tcPr>
            <w:tcW w:type="dxa" w:w="5083"/>
            <w:vAlign w:val="center"/>
          </w:tcPr>
          <w:p>
            <w:r/>
            <w:r>
              <w:rPr>
                <w:b w:val="0"/>
                <w:sz w:val="17"/>
              </w:rPr>
              <w:t>American fixed/floating; Bermudan fixed/floating</w:t>
            </w:r>
          </w:p>
        </w:tc>
      </w:tr>
      <w:tr>
        <w:tc>
          <w:tcPr>
            <w:tcW w:type="dxa" w:w="5083"/>
            <w:vAlign w:val="center"/>
          </w:tcPr>
          <w:p>
            <w:r/>
            <w:r>
              <w:rPr>
                <w:b w:val="0"/>
                <w:sz w:val="17"/>
              </w:rPr>
              <w:t>Underlying</w:t>
            </w:r>
          </w:p>
        </w:tc>
        <w:tc>
          <w:tcPr>
            <w:tcW w:type="dxa" w:w="5083"/>
            <w:vAlign w:val="center"/>
          </w:tcPr>
          <w:p>
            <w:r/>
            <w:r>
              <w:rPr>
                <w:b w:val="0"/>
                <w:sz w:val="17"/>
              </w:rPr>
              <w:t>PathIndependentOption; PathArithmeticAsianOption; PathGeometricAsianOption</w:t>
            </w:r>
          </w:p>
        </w:tc>
      </w:tr>
      <w:tr>
        <w:tc>
          <w:tcPr>
            <w:tcW w:type="dxa" w:w="5083"/>
            <w:vAlign w:val="center"/>
          </w:tcPr>
          <w:p>
            <w:r/>
            <w:r>
              <w:rPr>
                <w:b w:val="0"/>
                <w:sz w:val="17"/>
              </w:rPr>
              <w:t>Payoff</w:t>
            </w:r>
          </w:p>
        </w:tc>
        <w:tc>
          <w:tcPr>
            <w:tcW w:type="dxa" w:w="5083"/>
            <w:vAlign w:val="center"/>
          </w:tcPr>
          <w:p>
            <w:r/>
            <w:r>
              <w:rPr>
                <w:b w:val="0"/>
                <w:sz w:val="17"/>
              </w:rPr>
              <w:t>Put; Call</w:t>
            </w:r>
          </w:p>
        </w:tc>
      </w:tr>
      <w:tr>
        <w:tc>
          <w:tcPr>
            <w:tcW w:type="dxa" w:w="5083"/>
            <w:vAlign w:val="center"/>
          </w:tcPr>
          <w:p>
            <w:r/>
            <w:r>
              <w:rPr>
                <w:b w:val="0"/>
                <w:sz w:val="17"/>
              </w:rPr>
              <w:t>Rate model</w:t>
            </w:r>
          </w:p>
        </w:tc>
        <w:tc>
          <w:tcPr>
            <w:tcW w:type="dxa" w:w="5083"/>
            <w:vAlign w:val="center"/>
          </w:tcPr>
          <w:p>
            <w:r/>
            <w:r>
              <w:rPr>
                <w:b w:val="0"/>
                <w:sz w:val="17"/>
              </w:rPr>
              <w:t>Constant or Vasicek</w:t>
            </w:r>
          </w:p>
        </w:tc>
      </w:tr>
      <w:tr>
        <w:tc>
          <w:tcPr>
            <w:tcW w:type="dxa" w:w="5083"/>
            <w:vAlign w:val="center"/>
          </w:tcPr>
          <w:p>
            <w:r/>
            <w:r>
              <w:rPr>
                <w:b w:val="0"/>
                <w:sz w:val="17"/>
              </w:rPr>
              <w:t>Volatility</w:t>
            </w:r>
          </w:p>
        </w:tc>
        <w:tc>
          <w:tcPr>
            <w:tcW w:type="dxa" w:w="5083"/>
            <w:vAlign w:val="center"/>
          </w:tcPr>
          <w:p>
            <w:r/>
            <w:r>
              <w:rPr>
                <w:b w:val="0"/>
                <w:sz w:val="17"/>
              </w:rPr>
              <w:t>Constant or Heston</w:t>
            </w:r>
          </w:p>
        </w:tc>
      </w:tr>
      <w:tr>
        <w:tc>
          <w:tcPr>
            <w:tcW w:type="dxa" w:w="5083"/>
            <w:vAlign w:val="center"/>
          </w:tcPr>
          <w:p>
            <w:r/>
            <w:r>
              <w:rPr>
                <w:b w:val="0"/>
                <w:sz w:val="17"/>
              </w:rPr>
              <w:t>Sentiment</w:t>
            </w:r>
          </w:p>
        </w:tc>
        <w:tc>
          <w:tcPr>
            <w:tcW w:type="dxa" w:w="5083"/>
            <w:vAlign w:val="center"/>
          </w:tcPr>
          <w:p>
            <w:r/>
            <w:r>
              <w:rPr>
                <w:b w:val="0"/>
                <w:sz w:val="17"/>
              </w:rPr>
              <w:t>Constant, Stochastic or Jump</w:t>
            </w:r>
          </w:p>
        </w:tc>
      </w:tr>
      <w:tr>
        <w:tc>
          <w:tcPr>
            <w:tcW w:type="dxa" w:w="5083"/>
            <w:vAlign w:val="center"/>
          </w:tcPr>
          <w:p>
            <w:r/>
            <w:r>
              <w:rPr>
                <w:b w:val="0"/>
                <w:sz w:val="17"/>
              </w:rPr>
              <w:t>Sentiment volatility</w:t>
            </w:r>
          </w:p>
        </w:tc>
        <w:tc>
          <w:tcPr>
            <w:tcW w:type="dxa" w:w="5083"/>
            <w:vAlign w:val="center"/>
          </w:tcPr>
          <w:p>
            <w:r/>
            <w:r>
              <w:rPr>
                <w:b w:val="0"/>
                <w:sz w:val="17"/>
              </w:rPr>
              <w:t>Constant, Stochastic or Jump</w:t>
            </w:r>
          </w:p>
        </w:tc>
      </w:tr>
    </w:tbl>
    <w:p/>
    <w:p>
      <w:pPr>
        <w:pStyle w:val="Heading2"/>
      </w:pPr>
      <w:r>
        <w:t>45.1 Catalogue request template</w:t>
      </w:r>
    </w:p>
    <w:p>
      <w:pPr>
        <w:pStyle w:val="NoSpacing"/>
        <w:spacing w:before="60" w:after="120"/>
        <w:ind w:left="259" w:right="72"/>
        <w:shd w:fill="F2F2F2"/>
      </w:pPr>
      <w:r>
        <w:rPr>
          <w:rFonts w:ascii="Consolas" w:hAnsi="Consolas" w:eastAsia="Consolas"/>
          <w:sz w:val="15"/>
        </w:rPr>
        <w:t>result = price(</w:t>
        <w:br/>
        <w:t xml:space="preserve">    exercise, payoff,</w:t>
        <w:br/>
        <w:t xml:space="preserve">    underlying=underlying,</w:t>
        <w:br/>
        <w:t xml:space="preserve">    wrapper_order="Underlying only",</w:t>
        <w:br/>
        <w:t xml:space="preserve">    lookback=lookback,</w:t>
        <w:br/>
        <w:t xml:space="preserve">    S0=100, K=100, r=0.05, sigma=0.20, y=0, T=1,</w:t>
        <w:br/>
        <w:t xml:space="preserve">    M=12, N=4000, seed=0,</w:t>
        <w:br/>
        <w:t xml:space="preserve">    regression_degree=3, num_exercise_points=4,</w:t>
        <w:br/>
        <w:t xml:space="preserve">    rate_model=rate_model,</w:t>
        <w:br/>
        <w:t xml:space="preserve">    volatility_model=volatility_model,</w:t>
        <w:br/>
        <w:t xml:space="preserve">    dividend_model="Constant",</w:t>
        <w:br/>
        <w:t xml:space="preserve">    sentiment_model=sentiment_model,</w:t>
        <w:br/>
        <w:t xml:space="preserve">    sentiment_vol_model=sentiment_vol_model,</w:t>
        <w:br/>
        <w:t xml:space="preserve">    sigma_R=0.01, rate_a=0.50, rate_b=0.05,</w:t>
        <w:br/>
        <w:t xml:space="preserve">    theta_t=[0.0] * 13, b_t=[0.0] * 13, sigma_t=[0.01] * 13,</w:t>
        <w:br/>
        <w:t xml:space="preserve">    gamma=0.30, kappa=1.50, theta=0.04,</w:t>
        <w:br/>
        <w:t xml:space="preserve">    mu_sent=0.05, sigma_sent=0.20,</w:t>
        <w:br/>
        <w:t xml:space="preserve">    muJ_sent=1.0, sigmaJ_sent=0.05, Lambda_sent=lambda_sent,</w:t>
        <w:br/>
        <w:t xml:space="preserve">    gamma_sent=0.30, kappa_sent=1.20, theta_sent=0.04,</w:t>
        <w:br/>
        <w:t xml:space="preserve">    muJ_sentvol=1.0, sigmaJ_sentvol=0.05,</w:t>
        <w:br/>
        <w:t xml:space="preserve">    Lambda_sentvol=lambda_sentvol,</w:t>
        <w:br/>
        <w:t xml:space="preserve">    jumps=True, muJ=0.0, sigmaJ=0.10, Lambda=0.50,</w:t>
        <w:br/>
        <w:t>)</w:t>
      </w:r>
    </w:p>
    <w:p>
      <w:pPr>
        <w:pStyle w:val="IntenseQuote"/>
      </w:pPr>
      <w:r>
        <w:rPr>
          <w:i/>
        </w:rPr>
        <w:t>The full Cartesian catalogue contains 4 x 3 x 2 x 7 = 168 product/model combinations before any additional simulation-method sweep.</w:t>
      </w:r>
    </w:p>
    <w:p>
      <w:pPr>
        <w:pStyle w:val="Heading1"/>
      </w:pPr>
      <w:r>
        <w:t>46. Longstaff-Schwartz Table 1 with a jump-capable API</w:t>
      </w:r>
    </w:p>
    <w:p>
      <w:r>
        <w:t>BenchmarkAmericanLSMLongstaffTable1Jumps_API_ONLY_FLAT.py reproduces all 20 Longstaff-Schwartz Table 1 cells. The script exposes jump parameters through environment variables, but its paper-replication request deliberately uses jumps=False so the classical diffusion benchmark remains comparable.</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Grid dimension</w:t>
            </w:r>
          </w:p>
        </w:tc>
        <w:tc>
          <w:tcPr>
            <w:tcW w:type="dxa" w:w="5083"/>
            <w:vAlign w:val="center"/>
            <w:shd w:fill="B4C6E7"/>
          </w:tcPr>
          <w:p>
            <w:r/>
            <w:r>
              <w:rPr>
                <w:b/>
                <w:sz w:val="17"/>
              </w:rPr>
              <w:t>Values</w:t>
            </w:r>
          </w:p>
        </w:tc>
      </w:tr>
      <w:tr>
        <w:tc>
          <w:tcPr>
            <w:tcW w:type="dxa" w:w="5083"/>
            <w:vAlign w:val="center"/>
          </w:tcPr>
          <w:p>
            <w:r/>
            <w:r>
              <w:rPr>
                <w:b w:val="0"/>
                <w:sz w:val="17"/>
              </w:rPr>
              <w:t>Spot</w:t>
            </w:r>
          </w:p>
        </w:tc>
        <w:tc>
          <w:tcPr>
            <w:tcW w:type="dxa" w:w="5083"/>
            <w:vAlign w:val="center"/>
          </w:tcPr>
          <w:p>
            <w:r/>
            <w:r>
              <w:rPr>
                <w:b w:val="0"/>
                <w:sz w:val="17"/>
              </w:rPr>
              <w:t>36, 38, 40, 42, 44</w:t>
            </w:r>
          </w:p>
        </w:tc>
      </w:tr>
      <w:tr>
        <w:tc>
          <w:tcPr>
            <w:tcW w:type="dxa" w:w="5083"/>
            <w:vAlign w:val="center"/>
          </w:tcPr>
          <w:p>
            <w:r/>
            <w:r>
              <w:rPr>
                <w:b w:val="0"/>
                <w:sz w:val="17"/>
              </w:rPr>
              <w:t>Volatility</w:t>
            </w:r>
          </w:p>
        </w:tc>
        <w:tc>
          <w:tcPr>
            <w:tcW w:type="dxa" w:w="5083"/>
            <w:vAlign w:val="center"/>
          </w:tcPr>
          <w:p>
            <w:r/>
            <w:r>
              <w:rPr>
                <w:b w:val="0"/>
                <w:sz w:val="17"/>
              </w:rPr>
              <w:t>0.20, 0.40</w:t>
            </w:r>
          </w:p>
        </w:tc>
      </w:tr>
      <w:tr>
        <w:tc>
          <w:tcPr>
            <w:tcW w:type="dxa" w:w="5083"/>
            <w:vAlign w:val="center"/>
          </w:tcPr>
          <w:p>
            <w:r/>
            <w:r>
              <w:rPr>
                <w:b w:val="0"/>
                <w:sz w:val="17"/>
              </w:rPr>
              <w:t>Maturity</w:t>
            </w:r>
          </w:p>
        </w:tc>
        <w:tc>
          <w:tcPr>
            <w:tcW w:type="dxa" w:w="5083"/>
            <w:vAlign w:val="center"/>
          </w:tcPr>
          <w:p>
            <w:r/>
            <w:r>
              <w:rPr>
                <w:b w:val="0"/>
                <w:sz w:val="17"/>
              </w:rPr>
              <w:t>1, 2 years</w:t>
            </w:r>
          </w:p>
        </w:tc>
      </w:tr>
      <w:tr>
        <w:tc>
          <w:tcPr>
            <w:tcW w:type="dxa" w:w="5083"/>
            <w:vAlign w:val="center"/>
          </w:tcPr>
          <w:p>
            <w:r/>
            <w:r>
              <w:rPr>
                <w:b w:val="0"/>
                <w:sz w:val="17"/>
              </w:rPr>
              <w:t>Strike</w:t>
            </w:r>
          </w:p>
        </w:tc>
        <w:tc>
          <w:tcPr>
            <w:tcW w:type="dxa" w:w="5083"/>
            <w:vAlign w:val="center"/>
          </w:tcPr>
          <w:p>
            <w:r/>
            <w:r>
              <w:rPr>
                <w:b w:val="0"/>
                <w:sz w:val="17"/>
              </w:rPr>
              <w:t>40</w:t>
            </w:r>
          </w:p>
        </w:tc>
      </w:tr>
      <w:tr>
        <w:tc>
          <w:tcPr>
            <w:tcW w:type="dxa" w:w="5083"/>
            <w:vAlign w:val="center"/>
          </w:tcPr>
          <w:p>
            <w:r/>
            <w:r>
              <w:rPr>
                <w:b w:val="0"/>
                <w:sz w:val="17"/>
              </w:rPr>
              <w:t>Rate</w:t>
            </w:r>
          </w:p>
        </w:tc>
        <w:tc>
          <w:tcPr>
            <w:tcW w:type="dxa" w:w="5083"/>
            <w:vAlign w:val="center"/>
          </w:tcPr>
          <w:p>
            <w:r/>
            <w:r>
              <w:rPr>
                <w:b w:val="0"/>
                <w:sz w:val="17"/>
              </w:rPr>
              <w:t>0.06</w:t>
            </w:r>
          </w:p>
        </w:tc>
      </w:tr>
      <w:tr>
        <w:tc>
          <w:tcPr>
            <w:tcW w:type="dxa" w:w="5083"/>
            <w:vAlign w:val="center"/>
          </w:tcPr>
          <w:p>
            <w:r/>
            <w:r>
              <w:rPr>
                <w:b w:val="0"/>
                <w:sz w:val="17"/>
              </w:rPr>
              <w:t>Exercise opportunities</w:t>
            </w:r>
          </w:p>
        </w:tc>
        <w:tc>
          <w:tcPr>
            <w:tcW w:type="dxa" w:w="5083"/>
            <w:vAlign w:val="center"/>
          </w:tcPr>
          <w:p>
            <w:r/>
            <w:r>
              <w:rPr>
                <w:b w:val="0"/>
                <w:sz w:val="17"/>
              </w:rPr>
              <w:t>50 per year</w:t>
            </w:r>
          </w:p>
        </w:tc>
      </w:tr>
    </w:tbl>
    <w:p/>
    <w:p>
      <w:pPr>
        <w:pStyle w:val="Heading2"/>
      </w:pPr>
      <w:r>
        <w:t>46.1 Benchmark request</w:t>
      </w:r>
    </w:p>
    <w:p>
      <w:pPr>
        <w:pStyle w:val="NoSpacing"/>
        <w:spacing w:before="60" w:after="120"/>
        <w:ind w:left="259" w:right="72"/>
        <w:shd w:fill="F2F2F2"/>
      </w:pPr>
      <w:r>
        <w:rPr>
          <w:rFonts w:ascii="Consolas" w:hAnsi="Consolas" w:eastAsia="Consolas"/>
          <w:sz w:val="15"/>
        </w:rPr>
        <w:t>steps = int(round(50 * maturity))</w:t>
        <w:br/>
        <w:t>american = price(</w:t>
        <w:br/>
        <w:t xml:space="preserve">    "American", "Put",</w:t>
        <w:br/>
        <w:t xml:space="preserve">    underlying="PathIndependentOption",</w:t>
        <w:br/>
        <w:t xml:space="preserve">    wrapper_order="Underlying only",</w:t>
        <w:br/>
        <w:t xml:space="preserve">    S0=spot, K=40.0, r=0.06, sigma=volatility, y=0.0,</w:t>
        <w:br/>
        <w:t xml:space="preserve">    T=maturity, M=steps, N=50000, seed=0,</w:t>
        <w:br/>
        <w:t xml:space="preserve">    regression_degree=3, num_exercise_points=steps,</w:t>
        <w:br/>
        <w:t xml:space="preserve">    jumps=False,</w:t>
        <w:br/>
        <w:t>)</w:t>
      </w:r>
    </w:p>
    <w:p>
      <w:pPr>
        <w:pStyle w:val="ListBullet"/>
      </w:pPr>
      <w:r>
        <w:t>Compare the American API result with the paper LSM value and its reported standard error.</w:t>
      </w:r>
    </w:p>
    <w:p>
      <w:pPr>
        <w:pStyle w:val="ListBullet"/>
      </w:pPr>
      <w:r>
        <w:t>Compare the European API value with an independent Black-Scholes put calculation.</w:t>
      </w:r>
    </w:p>
    <w:p>
      <w:pPr>
        <w:pStyle w:val="ListBullet"/>
      </w:pPr>
      <w:r>
        <w:t>Check that American &gt;= European within combined Monte Carlo error.</w:t>
      </w:r>
    </w:p>
    <w:p>
      <w:pPr>
        <w:pStyle w:val="ListBullet"/>
      </w:pPr>
      <w:r>
        <w:t>To study jumps after the classical replication, set jumps=True and supply muJ, sigmaJ and Lambda; the paper anchor then becomes diagnostic rather than an equality target.</w:t>
      </w:r>
    </w:p>
    <w:p>
      <w:pPr>
        <w:pStyle w:val="Heading1"/>
      </w:pPr>
      <w:r>
        <w:t>47. Bermudan Longstaff-Schwartz Table 1</w:t>
      </w:r>
    </w:p>
    <w:p>
      <w:r>
        <w:t>BenchmarkBermudanLSMLongstaffTable1_API_ONLY_FLAT.py prices the same 20-cell Table 1 grid using the Bermudan exercise alias. With num_exercise_points equal to the full number of time steps, the setup approaches the American exercise schedule while also testing the Bermudan API path.</w:t>
      </w:r>
    </w:p>
    <w:p>
      <w:pPr>
        <w:pStyle w:val="NoSpacing"/>
        <w:spacing w:before="60" w:after="120"/>
        <w:ind w:left="259" w:right="72"/>
        <w:shd w:fill="F2F2F2"/>
      </w:pPr>
      <w:r>
        <w:rPr>
          <w:rFonts w:ascii="Consolas" w:hAnsi="Consolas" w:eastAsia="Consolas"/>
          <w:sz w:val="15"/>
        </w:rPr>
        <w:t>bermudan = price(</w:t>
        <w:br/>
        <w:t xml:space="preserve">    "Bermudan", "Put",</w:t>
        <w:br/>
        <w:t xml:space="preserve">    underlying="PathIndependentOption",</w:t>
        <w:br/>
        <w:t xml:space="preserve">    wrapper_order="Underlying only",</w:t>
        <w:br/>
        <w:t xml:space="preserve">    S0=spot, K=40.0, r=0.06, sigma=volatility, y=0.0,</w:t>
        <w:br/>
        <w:t xml:space="preserve">    T=maturity, M=steps, N=50000, seed=0,</w:t>
        <w:br/>
        <w:t xml:space="preserve">    regression_degree=3, num_exercise_points=steps,</w:t>
        <w:br/>
        <w:t xml:space="preserve">    random_generator="Standard",</w:t>
        <w:br/>
        <w:t xml:space="preserve">    sampling="None",</w:t>
        <w:br/>
        <w:t xml:space="preserve">    wiener="Antithetic",</w:t>
        <w:br/>
        <w:t xml:space="preserve">    num_repetitions=8,</w:t>
        <w:br/>
        <w:t xml:space="preserve">    jumps=False,</w:t>
        <w:br/>
        <w:t>)</w:t>
      </w:r>
    </w:p>
    <w:p>
      <w:pPr>
        <w:pStyle w:val="IntenseQuote"/>
      </w:pPr>
      <w:r>
        <w:rPr>
          <w:i/>
        </w:rPr>
        <w:t>Antithetic Wiener generation activates the replication convention. The reported std_error is therefore based on the dispersion of replication prices divided by the square root of the number of repetitions.</w:t>
      </w:r>
    </w:p>
    <w:p>
      <w:pPr>
        <w:pStyle w:val="Heading1"/>
      </w:pPr>
      <w:r>
        <w:t>48. Comprehensive LSM jump-diffusion catalogue</w:t>
      </w:r>
    </w:p>
    <w:p>
      <w:r>
        <w:t>BenchmarkAmericanLSMJumps_API_ONLY_FLAT_NATIVE.py is a systematic product/model grid. It spans seven exercise products, three underlyings, two payoffs and seven factor configurations.</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B4C6E7"/>
          </w:tcPr>
          <w:p>
            <w:r/>
            <w:r>
              <w:rPr>
                <w:b/>
                <w:sz w:val="17"/>
              </w:rPr>
              <w:t>Axis</w:t>
            </w:r>
          </w:p>
        </w:tc>
        <w:tc>
          <w:tcPr>
            <w:tcW w:type="dxa" w:w="3389"/>
            <w:vAlign w:val="center"/>
            <w:shd w:fill="B4C6E7"/>
          </w:tcPr>
          <w:p>
            <w:r/>
            <w:r>
              <w:rPr>
                <w:b/>
                <w:sz w:val="17"/>
              </w:rPr>
              <w:t>Count</w:t>
            </w:r>
          </w:p>
        </w:tc>
        <w:tc>
          <w:tcPr>
            <w:tcW w:type="dxa" w:w="3389"/>
            <w:vAlign w:val="center"/>
            <w:shd w:fill="B4C6E7"/>
          </w:tcPr>
          <w:p>
            <w:r/>
            <w:r>
              <w:rPr>
                <w:b/>
                <w:sz w:val="17"/>
              </w:rPr>
              <w:t>Members</w:t>
            </w:r>
          </w:p>
        </w:tc>
      </w:tr>
      <w:tr>
        <w:tc>
          <w:tcPr>
            <w:tcW w:type="dxa" w:w="3389"/>
            <w:vAlign w:val="center"/>
          </w:tcPr>
          <w:p>
            <w:r/>
            <w:r>
              <w:rPr>
                <w:b w:val="0"/>
                <w:sz w:val="17"/>
              </w:rPr>
              <w:t>Products</w:t>
            </w:r>
          </w:p>
        </w:tc>
        <w:tc>
          <w:tcPr>
            <w:tcW w:type="dxa" w:w="3389"/>
            <w:vAlign w:val="center"/>
          </w:tcPr>
          <w:p>
            <w:r/>
            <w:r>
              <w:rPr>
                <w:b w:val="0"/>
                <w:sz w:val="17"/>
              </w:rPr>
              <w:t>7</w:t>
            </w:r>
          </w:p>
        </w:tc>
        <w:tc>
          <w:tcPr>
            <w:tcW w:type="dxa" w:w="3389"/>
            <w:vAlign w:val="center"/>
          </w:tcPr>
          <w:p>
            <w:r/>
            <w:r>
              <w:rPr>
                <w:b w:val="0"/>
                <w:sz w:val="17"/>
              </w:rPr>
              <w:t>European, American, Bermudan, four native lookback exercise classes</w:t>
            </w:r>
          </w:p>
        </w:tc>
      </w:tr>
      <w:tr>
        <w:tc>
          <w:tcPr>
            <w:tcW w:type="dxa" w:w="3389"/>
            <w:vAlign w:val="center"/>
          </w:tcPr>
          <w:p>
            <w:r/>
            <w:r>
              <w:rPr>
                <w:b w:val="0"/>
                <w:sz w:val="17"/>
              </w:rPr>
              <w:t>Underlyings</w:t>
            </w:r>
          </w:p>
        </w:tc>
        <w:tc>
          <w:tcPr>
            <w:tcW w:type="dxa" w:w="3389"/>
            <w:vAlign w:val="center"/>
          </w:tcPr>
          <w:p>
            <w:r/>
            <w:r>
              <w:rPr>
                <w:b w:val="0"/>
                <w:sz w:val="17"/>
              </w:rPr>
              <w:t>3</w:t>
            </w:r>
          </w:p>
        </w:tc>
        <w:tc>
          <w:tcPr>
            <w:tcW w:type="dxa" w:w="3389"/>
            <w:vAlign w:val="center"/>
          </w:tcPr>
          <w:p>
            <w:r/>
            <w:r>
              <w:rPr>
                <w:b w:val="0"/>
                <w:sz w:val="17"/>
              </w:rPr>
              <w:t>Path-independent, arithmetic Asian, geometric Asian</w:t>
            </w:r>
          </w:p>
        </w:tc>
      </w:tr>
      <w:tr>
        <w:tc>
          <w:tcPr>
            <w:tcW w:type="dxa" w:w="3389"/>
            <w:vAlign w:val="center"/>
          </w:tcPr>
          <w:p>
            <w:r/>
            <w:r>
              <w:rPr>
                <w:b w:val="0"/>
                <w:sz w:val="17"/>
              </w:rPr>
              <w:t>Payoffs</w:t>
            </w:r>
          </w:p>
        </w:tc>
        <w:tc>
          <w:tcPr>
            <w:tcW w:type="dxa" w:w="3389"/>
            <w:vAlign w:val="center"/>
          </w:tcPr>
          <w:p>
            <w:r/>
            <w:r>
              <w:rPr>
                <w:b w:val="0"/>
                <w:sz w:val="17"/>
              </w:rPr>
              <w:t>2</w:t>
            </w:r>
          </w:p>
        </w:tc>
        <w:tc>
          <w:tcPr>
            <w:tcW w:type="dxa" w:w="3389"/>
            <w:vAlign w:val="center"/>
          </w:tcPr>
          <w:p>
            <w:r/>
            <w:r>
              <w:rPr>
                <w:b w:val="0"/>
                <w:sz w:val="17"/>
              </w:rPr>
              <w:t>Put, Call</w:t>
            </w:r>
          </w:p>
        </w:tc>
      </w:tr>
      <w:tr>
        <w:tc>
          <w:tcPr>
            <w:tcW w:type="dxa" w:w="3389"/>
            <w:vAlign w:val="center"/>
          </w:tcPr>
          <w:p>
            <w:r/>
            <w:r>
              <w:rPr>
                <w:b w:val="0"/>
                <w:sz w:val="17"/>
              </w:rPr>
              <w:t>Factor configurations</w:t>
            </w:r>
          </w:p>
        </w:tc>
        <w:tc>
          <w:tcPr>
            <w:tcW w:type="dxa" w:w="3389"/>
            <w:vAlign w:val="center"/>
          </w:tcPr>
          <w:p>
            <w:r/>
            <w:r>
              <w:rPr>
                <w:b w:val="0"/>
                <w:sz w:val="17"/>
              </w:rPr>
              <w:t>7</w:t>
            </w:r>
          </w:p>
        </w:tc>
        <w:tc>
          <w:tcPr>
            <w:tcW w:type="dxa" w:w="3389"/>
            <w:vAlign w:val="center"/>
          </w:tcPr>
          <w:p>
            <w:r/>
            <w:r>
              <w:rPr>
                <w:b w:val="0"/>
                <w:sz w:val="17"/>
              </w:rPr>
              <w:t>Constant; Heston; Vasicek; Vasicek+Heston; stochastic sentiment; stochastic sentiment+vol; jump sentiment+vol</w:t>
            </w:r>
          </w:p>
        </w:tc>
      </w:tr>
    </w:tbl>
    <w:p/>
    <w:p>
      <w:r>
        <w:t>The full grid contains 7 x 3 x 2 x 7 = 294 cases. Use BENCH_MAX_CASES to cap the number during development.</w:t>
      </w:r>
    </w:p>
    <w:p>
      <w:pPr>
        <w:pStyle w:val="Heading2"/>
      </w:pPr>
      <w:r>
        <w:t>48.1 Catalogue design rules</w:t>
      </w:r>
    </w:p>
    <w:p>
      <w:pPr>
        <w:pStyle w:val="ListBullet"/>
      </w:pPr>
      <w:r>
        <w:t>European products use num_exercise_points=None.</w:t>
      </w:r>
    </w:p>
    <w:p>
      <w:pPr>
        <w:pStyle w:val="ListBullet"/>
      </w:pPr>
      <w:r>
        <w:t>All non-European products use min(BENCH_BERMUDA_POINTS, M) in this catalogue.</w:t>
      </w:r>
    </w:p>
    <w:p>
      <w:pPr>
        <w:pStyle w:val="ListBullet"/>
      </w:pPr>
      <w:r>
        <w:t>Native lookback exercise names are paired with their exact matching lookback class.</w:t>
      </w:r>
    </w:p>
    <w:p>
      <w:pPr>
        <w:pStyle w:val="ListBullet"/>
      </w:pPr>
      <w:r>
        <w:t>Every case enables stock jumps and supplies complete stochastic-rate, volatility, dividend, sentiment and sentiment-volatility parameter sets, even where a selected model ignores some of them.</w:t>
      </w:r>
    </w:p>
    <w:p>
      <w:pPr>
        <w:pStyle w:val="ListBullet"/>
      </w:pPr>
      <w:r>
        <w:t>Correlation matrices must match the number of active stochastic factors.</w:t>
      </w:r>
    </w:p>
    <w:p>
      <w:pPr>
        <w:pStyle w:val="Heading1"/>
      </w:pPr>
      <w:r>
        <w:t>49. Native American lookback benchmark</w:t>
      </w:r>
    </w:p>
    <w:p>
      <w:r>
        <w:t>BenchmarkAmericanLookback_API_ONLY_FLAT_NATIVE.py provides a focused benchmark for all four native American lookback combinations: floating/fixed strike crossed with Call/Put.</w:t>
      </w:r>
    </w:p>
    <w:tbl>
      <w:tblPr>
        <w:tblStyle w:val="TableGrid"/>
        <w:tblW w:type="auto" w:w="0"/>
        <w:jc w:val="center"/>
        <w:tblLook w:firstColumn="1" w:firstRow="1" w:lastColumn="0" w:lastRow="0" w:noHBand="0" w:noVBand="1" w:val="04A0"/>
      </w:tblPr>
      <w:tblGrid>
        <w:gridCol w:w="2033"/>
        <w:gridCol w:w="2033"/>
        <w:gridCol w:w="2033"/>
        <w:gridCol w:w="2033"/>
        <w:gridCol w:w="2033"/>
      </w:tblGrid>
      <w:tr>
        <w:tc>
          <w:tcPr>
            <w:tcW w:type="dxa" w:w="2033"/>
            <w:vAlign w:val="center"/>
            <w:shd w:fill="B4C6E7"/>
          </w:tcPr>
          <w:p>
            <w:r/>
            <w:r>
              <w:rPr>
                <w:b/>
                <w:sz w:val="17"/>
              </w:rPr>
              <w:t>Case</w:t>
            </w:r>
          </w:p>
        </w:tc>
        <w:tc>
          <w:tcPr>
            <w:tcW w:type="dxa" w:w="2033"/>
            <w:vAlign w:val="center"/>
            <w:shd w:fill="B4C6E7"/>
          </w:tcPr>
          <w:p>
            <w:r/>
            <w:r>
              <w:rPr>
                <w:b/>
                <w:sz w:val="17"/>
              </w:rPr>
              <w:t>Exercise</w:t>
            </w:r>
          </w:p>
        </w:tc>
        <w:tc>
          <w:tcPr>
            <w:tcW w:type="dxa" w:w="2033"/>
            <w:vAlign w:val="center"/>
            <w:shd w:fill="B4C6E7"/>
          </w:tcPr>
          <w:p>
            <w:r/>
            <w:r>
              <w:rPr>
                <w:b/>
                <w:sz w:val="17"/>
              </w:rPr>
              <w:t>Lookback</w:t>
            </w:r>
          </w:p>
        </w:tc>
        <w:tc>
          <w:tcPr>
            <w:tcW w:type="dxa" w:w="2033"/>
            <w:vAlign w:val="center"/>
            <w:shd w:fill="B4C6E7"/>
          </w:tcPr>
          <w:p>
            <w:r/>
            <w:r>
              <w:rPr>
                <w:b/>
                <w:sz w:val="17"/>
              </w:rPr>
              <w:t>Payoff</w:t>
            </w:r>
          </w:p>
        </w:tc>
        <w:tc>
          <w:tcPr>
            <w:tcW w:type="dxa" w:w="2033"/>
            <w:vAlign w:val="center"/>
            <w:shd w:fill="B4C6E7"/>
          </w:tcPr>
          <w:p>
            <w:r/>
            <w:r>
              <w:rPr>
                <w:b/>
                <w:sz w:val="17"/>
              </w:rPr>
              <w:t>Expected premium</w:t>
            </w:r>
          </w:p>
        </w:tc>
      </w:tr>
      <w:tr>
        <w:tc>
          <w:tcPr>
            <w:tcW w:type="dxa" w:w="2033"/>
            <w:vAlign w:val="center"/>
          </w:tcPr>
          <w:p>
            <w:r/>
            <w:r>
              <w:rPr>
                <w:b w:val="0"/>
                <w:sz w:val="17"/>
              </w:rPr>
              <w:t>float_call</w:t>
            </w:r>
          </w:p>
        </w:tc>
        <w:tc>
          <w:tcPr>
            <w:tcW w:type="dxa" w:w="2033"/>
            <w:vAlign w:val="center"/>
          </w:tcPr>
          <w:p>
            <w:r/>
            <w:r>
              <w:rPr>
                <w:b w:val="0"/>
                <w:sz w:val="17"/>
              </w:rPr>
              <w:t>LookBackAmericanOptionFloatingStrike</w:t>
            </w:r>
          </w:p>
        </w:tc>
        <w:tc>
          <w:tcPr>
            <w:tcW w:type="dxa" w:w="2033"/>
            <w:vAlign w:val="center"/>
          </w:tcPr>
          <w:p>
            <w:r/>
            <w:r>
              <w:rPr>
                <w:b w:val="0"/>
                <w:sz w:val="17"/>
              </w:rPr>
              <w:t>LookbacksFloatingStrike</w:t>
            </w:r>
          </w:p>
        </w:tc>
        <w:tc>
          <w:tcPr>
            <w:tcW w:type="dxa" w:w="2033"/>
            <w:vAlign w:val="center"/>
          </w:tcPr>
          <w:p>
            <w:r/>
            <w:r>
              <w:rPr>
                <w:b w:val="0"/>
                <w:sz w:val="17"/>
              </w:rPr>
              <w:t>Call</w:t>
            </w:r>
          </w:p>
        </w:tc>
        <w:tc>
          <w:tcPr>
            <w:tcW w:type="dxa" w:w="2033"/>
            <w:vAlign w:val="center"/>
          </w:tcPr>
          <w:p>
            <w:r/>
            <w:r>
              <w:rPr>
                <w:b w:val="0"/>
                <w:sz w:val="17"/>
              </w:rPr>
              <w:t>Non-negative within small numerical slack</w:t>
            </w:r>
          </w:p>
        </w:tc>
      </w:tr>
      <w:tr>
        <w:tc>
          <w:tcPr>
            <w:tcW w:type="dxa" w:w="2033"/>
            <w:vAlign w:val="center"/>
          </w:tcPr>
          <w:p>
            <w:r/>
            <w:r>
              <w:rPr>
                <w:b w:val="0"/>
                <w:sz w:val="17"/>
              </w:rPr>
              <w:t>float_put</w:t>
            </w:r>
          </w:p>
        </w:tc>
        <w:tc>
          <w:tcPr>
            <w:tcW w:type="dxa" w:w="2033"/>
            <w:vAlign w:val="center"/>
          </w:tcPr>
          <w:p>
            <w:r/>
            <w:r>
              <w:rPr>
                <w:b w:val="0"/>
                <w:sz w:val="17"/>
              </w:rPr>
              <w:t>LookBackAmericanOptionFloatingStrike</w:t>
            </w:r>
          </w:p>
        </w:tc>
        <w:tc>
          <w:tcPr>
            <w:tcW w:type="dxa" w:w="2033"/>
            <w:vAlign w:val="center"/>
          </w:tcPr>
          <w:p>
            <w:r/>
            <w:r>
              <w:rPr>
                <w:b w:val="0"/>
                <w:sz w:val="17"/>
              </w:rPr>
              <w:t>LookbacksFloatingStrike</w:t>
            </w:r>
          </w:p>
        </w:tc>
        <w:tc>
          <w:tcPr>
            <w:tcW w:type="dxa" w:w="2033"/>
            <w:vAlign w:val="center"/>
          </w:tcPr>
          <w:p>
            <w:r/>
            <w:r>
              <w:rPr>
                <w:b w:val="0"/>
                <w:sz w:val="17"/>
              </w:rPr>
              <w:t>Put</w:t>
            </w:r>
          </w:p>
        </w:tc>
        <w:tc>
          <w:tcPr>
            <w:tcW w:type="dxa" w:w="2033"/>
            <w:vAlign w:val="center"/>
          </w:tcPr>
          <w:p>
            <w:r/>
            <w:r>
              <w:rPr>
                <w:b w:val="0"/>
                <w:sz w:val="17"/>
              </w:rPr>
              <w:t>Non-negative within MC tolerance</w:t>
            </w:r>
          </w:p>
        </w:tc>
      </w:tr>
      <w:tr>
        <w:tc>
          <w:tcPr>
            <w:tcW w:type="dxa" w:w="2033"/>
            <w:vAlign w:val="center"/>
          </w:tcPr>
          <w:p>
            <w:r/>
            <w:r>
              <w:rPr>
                <w:b w:val="0"/>
                <w:sz w:val="17"/>
              </w:rPr>
              <w:t>fixed_call</w:t>
            </w:r>
          </w:p>
        </w:tc>
        <w:tc>
          <w:tcPr>
            <w:tcW w:type="dxa" w:w="2033"/>
            <w:vAlign w:val="center"/>
          </w:tcPr>
          <w:p>
            <w:r/>
            <w:r>
              <w:rPr>
                <w:b w:val="0"/>
                <w:sz w:val="17"/>
              </w:rPr>
              <w:t>LookBackAmericanOptionFixedStrike</w:t>
            </w:r>
          </w:p>
        </w:tc>
        <w:tc>
          <w:tcPr>
            <w:tcW w:type="dxa" w:w="2033"/>
            <w:vAlign w:val="center"/>
          </w:tcPr>
          <w:p>
            <w:r/>
            <w:r>
              <w:rPr>
                <w:b w:val="0"/>
                <w:sz w:val="17"/>
              </w:rPr>
              <w:t>LookbacksFixedStrike</w:t>
            </w:r>
          </w:p>
        </w:tc>
        <w:tc>
          <w:tcPr>
            <w:tcW w:type="dxa" w:w="2033"/>
            <w:vAlign w:val="center"/>
          </w:tcPr>
          <w:p>
            <w:r/>
            <w:r>
              <w:rPr>
                <w:b w:val="0"/>
                <w:sz w:val="17"/>
              </w:rPr>
              <w:t>Call</w:t>
            </w:r>
          </w:p>
        </w:tc>
        <w:tc>
          <w:tcPr>
            <w:tcW w:type="dxa" w:w="2033"/>
            <w:vAlign w:val="center"/>
          </w:tcPr>
          <w:p>
            <w:r/>
            <w:r>
              <w:rPr>
                <w:b w:val="0"/>
                <w:sz w:val="17"/>
              </w:rPr>
              <w:t>Strictly positive</w:t>
            </w:r>
          </w:p>
        </w:tc>
      </w:tr>
      <w:tr>
        <w:tc>
          <w:tcPr>
            <w:tcW w:type="dxa" w:w="2033"/>
            <w:vAlign w:val="center"/>
          </w:tcPr>
          <w:p>
            <w:r/>
            <w:r>
              <w:rPr>
                <w:b w:val="0"/>
                <w:sz w:val="17"/>
              </w:rPr>
              <w:t>fixed_put</w:t>
            </w:r>
          </w:p>
        </w:tc>
        <w:tc>
          <w:tcPr>
            <w:tcW w:type="dxa" w:w="2033"/>
            <w:vAlign w:val="center"/>
          </w:tcPr>
          <w:p>
            <w:r/>
            <w:r>
              <w:rPr>
                <w:b w:val="0"/>
                <w:sz w:val="17"/>
              </w:rPr>
              <w:t>LookBackAmericanOptionFixedStrike</w:t>
            </w:r>
          </w:p>
        </w:tc>
        <w:tc>
          <w:tcPr>
            <w:tcW w:type="dxa" w:w="2033"/>
            <w:vAlign w:val="center"/>
          </w:tcPr>
          <w:p>
            <w:r/>
            <w:r>
              <w:rPr>
                <w:b w:val="0"/>
                <w:sz w:val="17"/>
              </w:rPr>
              <w:t>LookbacksFixedStrike</w:t>
            </w:r>
          </w:p>
        </w:tc>
        <w:tc>
          <w:tcPr>
            <w:tcW w:type="dxa" w:w="2033"/>
            <w:vAlign w:val="center"/>
          </w:tcPr>
          <w:p>
            <w:r/>
            <w:r>
              <w:rPr>
                <w:b w:val="0"/>
                <w:sz w:val="17"/>
              </w:rPr>
              <w:t>Put</w:t>
            </w:r>
          </w:p>
        </w:tc>
        <w:tc>
          <w:tcPr>
            <w:tcW w:type="dxa" w:w="2033"/>
            <w:vAlign w:val="center"/>
          </w:tcPr>
          <w:p>
            <w:r/>
            <w:r>
              <w:rPr>
                <w:b w:val="0"/>
                <w:sz w:val="17"/>
              </w:rPr>
              <w:t>Strictly positive</w:t>
            </w:r>
          </w:p>
        </w:tc>
      </w:tr>
    </w:tbl>
    <w:p/>
    <w:p>
      <w:pPr>
        <w:pStyle w:val="Heading2"/>
      </w:pPr>
      <w:r>
        <w:t>49.1 Correct native request</w:t>
      </w:r>
    </w:p>
    <w:p>
      <w:pPr>
        <w:pStyle w:val="NoSpacing"/>
        <w:spacing w:before="60" w:after="120"/>
        <w:ind w:left="259" w:right="72"/>
        <w:shd w:fill="F2F2F2"/>
      </w:pPr>
      <w:r>
        <w:rPr>
          <w:rFonts w:ascii="Consolas" w:hAnsi="Consolas" w:eastAsia="Consolas"/>
          <w:sz w:val="15"/>
        </w:rPr>
        <w:t>american = price(</w:t>
        <w:br/>
        <w:t xml:space="preserve">    "LookBackAmericanOptionFixedStrike", "Call",</w:t>
        <w:br/>
        <w:t xml:space="preserve">    underlying="PathIndependentOption",</w:t>
        <w:br/>
        <w:t xml:space="preserve">    wrapper_order="Underlying only",</w:t>
        <w:br/>
        <w:t xml:space="preserve">    lookback="LookbacksFixedStrike",</w:t>
        <w:br/>
        <w:t xml:space="preserve">    S0=100, K=100, r=0.10, sigma=0.30, y=0, T=0.20,</w:t>
        <w:br/>
        <w:t xml:space="preserve">    M=50, N=100000, seed=0,</w:t>
        <w:br/>
        <w:t xml:space="preserve">    regression_degree=3, num_exercise_points=50,</w:t>
        <w:br/>
        <w:t>)</w:t>
        <w:br/>
        <w:br/>
        <w:t>european = price(</w:t>
        <w:br/>
        <w:t xml:space="preserve">    "European", "Call",</w:t>
        <w:br/>
        <w:t xml:space="preserve">    underlying="PathIndependentOption",</w:t>
        <w:br/>
        <w:t xml:space="preserve">    wrapper_order="Lookback on underlying",</w:t>
        <w:br/>
        <w:t xml:space="preserve">    lookback="LookbacksFixedStrike",</w:t>
        <w:br/>
        <w:t xml:space="preserve">    S0=100, K=100, r=0.10, sigma=0.30, y=0, T=0.20,</w:t>
        <w:br/>
        <w:t xml:space="preserve">    M=50, N=100000, seed=0,</w:t>
        <w:br/>
        <w:t>)</w:t>
      </w:r>
    </w:p>
    <w:p>
      <w:pPr>
        <w:pStyle w:val="ListBullet"/>
      </w:pPr>
      <w:r>
        <w:t>Compare American minus European using combined standard errors.</w:t>
      </w:r>
    </w:p>
    <w:p>
      <w:pPr>
        <w:pStyle w:val="ListBullet"/>
      </w:pPr>
      <w:r>
        <w:t>Repeat identical calls with the same seed to verify exact reproducibility.</w:t>
      </w:r>
    </w:p>
    <w:p>
      <w:pPr>
        <w:pStyle w:val="ListBullet"/>
      </w:pPr>
      <w:r>
        <w:t>Inspect config_echo.exercise and config_echo.lookback_requested to confirm native normalisation.</w:t>
      </w:r>
    </w:p>
    <w:p>
      <w:pPr>
        <w:pStyle w:val="Heading1"/>
      </w:pPr>
      <w:r>
        <w:t>50. Ait-Sahlia, Goswami and Guha Heston benchmark</w:t>
      </w:r>
    </w:p>
    <w:p>
      <w:r>
        <w:t>BenchmarkAmericanHestonAitSahlia_API_ONLY_FLAT.py reconstructs the complete 25-cell Table 3 benchmark for American calls under Heston volatility.</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Parameter</w:t>
            </w:r>
          </w:p>
        </w:tc>
        <w:tc>
          <w:tcPr>
            <w:tcW w:type="dxa" w:w="5083"/>
            <w:vAlign w:val="center"/>
            <w:shd w:fill="B4C6E7"/>
          </w:tcPr>
          <w:p>
            <w:r/>
            <w:r>
              <w:rPr>
                <w:b/>
                <w:sz w:val="17"/>
              </w:rPr>
              <w:t>Value</w:t>
            </w:r>
          </w:p>
        </w:tc>
      </w:tr>
      <w:tr>
        <w:tc>
          <w:tcPr>
            <w:tcW w:type="dxa" w:w="5083"/>
            <w:vAlign w:val="center"/>
          </w:tcPr>
          <w:p>
            <w:r/>
            <w:r>
              <w:rPr>
                <w:b w:val="0"/>
                <w:sz w:val="17"/>
              </w:rPr>
              <w:t>Strike</w:t>
            </w:r>
          </w:p>
        </w:tc>
        <w:tc>
          <w:tcPr>
            <w:tcW w:type="dxa" w:w="5083"/>
            <w:vAlign w:val="center"/>
          </w:tcPr>
          <w:p>
            <w:r/>
            <w:r>
              <w:rPr>
                <w:b w:val="0"/>
                <w:sz w:val="17"/>
              </w:rPr>
              <w:t>100</w:t>
            </w:r>
          </w:p>
        </w:tc>
      </w:tr>
      <w:tr>
        <w:tc>
          <w:tcPr>
            <w:tcW w:type="dxa" w:w="5083"/>
            <w:vAlign w:val="center"/>
          </w:tcPr>
          <w:p>
            <w:r/>
            <w:r>
              <w:rPr>
                <w:b w:val="0"/>
                <w:sz w:val="17"/>
              </w:rPr>
              <w:t>Rate</w:t>
            </w:r>
          </w:p>
        </w:tc>
        <w:tc>
          <w:tcPr>
            <w:tcW w:type="dxa" w:w="5083"/>
            <w:vAlign w:val="center"/>
          </w:tcPr>
          <w:p>
            <w:r/>
            <w:r>
              <w:rPr>
                <w:b w:val="0"/>
                <w:sz w:val="17"/>
              </w:rPr>
              <w:t>0.03</w:t>
            </w:r>
          </w:p>
        </w:tc>
      </w:tr>
      <w:tr>
        <w:tc>
          <w:tcPr>
            <w:tcW w:type="dxa" w:w="5083"/>
            <w:vAlign w:val="center"/>
          </w:tcPr>
          <w:p>
            <w:r/>
            <w:r>
              <w:rPr>
                <w:b w:val="0"/>
                <w:sz w:val="17"/>
              </w:rPr>
              <w:t>Dividend yield</w:t>
            </w:r>
          </w:p>
        </w:tc>
        <w:tc>
          <w:tcPr>
            <w:tcW w:type="dxa" w:w="5083"/>
            <w:vAlign w:val="center"/>
          </w:tcPr>
          <w:p>
            <w:r/>
            <w:r>
              <w:rPr>
                <w:b w:val="0"/>
                <w:sz w:val="17"/>
              </w:rPr>
              <w:t>0.05</w:t>
            </w:r>
          </w:p>
        </w:tc>
      </w:tr>
      <w:tr>
        <w:tc>
          <w:tcPr>
            <w:tcW w:type="dxa" w:w="5083"/>
            <w:vAlign w:val="center"/>
          </w:tcPr>
          <w:p>
            <w:r/>
            <w:r>
              <w:rPr>
                <w:b w:val="0"/>
                <w:sz w:val="17"/>
              </w:rPr>
              <w:t>Initial volatility</w:t>
            </w:r>
          </w:p>
        </w:tc>
        <w:tc>
          <w:tcPr>
            <w:tcW w:type="dxa" w:w="5083"/>
            <w:vAlign w:val="center"/>
          </w:tcPr>
          <w:p>
            <w:r/>
            <w:r>
              <w:rPr>
                <w:b w:val="0"/>
                <w:sz w:val="17"/>
              </w:rPr>
              <w:t>0.20</w:t>
            </w:r>
          </w:p>
        </w:tc>
      </w:tr>
      <w:tr>
        <w:tc>
          <w:tcPr>
            <w:tcW w:type="dxa" w:w="5083"/>
            <w:vAlign w:val="center"/>
          </w:tcPr>
          <w:p>
            <w:r/>
            <w:r>
              <w:rPr>
                <w:b w:val="0"/>
                <w:sz w:val="17"/>
              </w:rPr>
              <w:t>Mean reversion kappa</w:t>
            </w:r>
          </w:p>
        </w:tc>
        <w:tc>
          <w:tcPr>
            <w:tcW w:type="dxa" w:w="5083"/>
            <w:vAlign w:val="center"/>
          </w:tcPr>
          <w:p>
            <w:r/>
            <w:r>
              <w:rPr>
                <w:b w:val="0"/>
                <w:sz w:val="17"/>
              </w:rPr>
              <w:t>4.0</w:t>
            </w:r>
          </w:p>
        </w:tc>
      </w:tr>
      <w:tr>
        <w:tc>
          <w:tcPr>
            <w:tcW w:type="dxa" w:w="5083"/>
            <w:vAlign w:val="center"/>
          </w:tcPr>
          <w:p>
            <w:r/>
            <w:r>
              <w:rPr>
                <w:b w:val="0"/>
                <w:sz w:val="17"/>
              </w:rPr>
              <w:t>Long-run variance theta</w:t>
            </w:r>
          </w:p>
        </w:tc>
        <w:tc>
          <w:tcPr>
            <w:tcW w:type="dxa" w:w="5083"/>
            <w:vAlign w:val="center"/>
          </w:tcPr>
          <w:p>
            <w:r/>
            <w:r>
              <w:rPr>
                <w:b w:val="0"/>
                <w:sz w:val="17"/>
              </w:rPr>
              <w:t>0.09</w:t>
            </w:r>
          </w:p>
        </w:tc>
      </w:tr>
      <w:tr>
        <w:tc>
          <w:tcPr>
            <w:tcW w:type="dxa" w:w="5083"/>
            <w:vAlign w:val="center"/>
          </w:tcPr>
          <w:p>
            <w:r/>
            <w:r>
              <w:rPr>
                <w:b w:val="0"/>
                <w:sz w:val="17"/>
              </w:rPr>
              <w:t>Vol-of-vol gamma</w:t>
            </w:r>
          </w:p>
        </w:tc>
        <w:tc>
          <w:tcPr>
            <w:tcW w:type="dxa" w:w="5083"/>
            <w:vAlign w:val="center"/>
          </w:tcPr>
          <w:p>
            <w:r/>
            <w:r>
              <w:rPr>
                <w:b w:val="0"/>
                <w:sz w:val="17"/>
              </w:rPr>
              <w:t>0.10</w:t>
            </w:r>
          </w:p>
        </w:tc>
      </w:tr>
      <w:tr>
        <w:tc>
          <w:tcPr>
            <w:tcW w:type="dxa" w:w="5083"/>
            <w:vAlign w:val="center"/>
          </w:tcPr>
          <w:p>
            <w:r/>
            <w:r>
              <w:rPr>
                <w:b w:val="0"/>
                <w:sz w:val="17"/>
              </w:rPr>
              <w:t>Correlation</w:t>
            </w:r>
          </w:p>
        </w:tc>
        <w:tc>
          <w:tcPr>
            <w:tcW w:type="dxa" w:w="5083"/>
            <w:vAlign w:val="center"/>
          </w:tcPr>
          <w:p>
            <w:r/>
            <w:r>
              <w:rPr>
                <w:b w:val="0"/>
                <w:sz w:val="17"/>
              </w:rPr>
              <w:t>0.0</w:t>
            </w:r>
          </w:p>
        </w:tc>
      </w:tr>
      <w:tr>
        <w:tc>
          <w:tcPr>
            <w:tcW w:type="dxa" w:w="5083"/>
            <w:vAlign w:val="center"/>
          </w:tcPr>
          <w:p>
            <w:r/>
            <w:r>
              <w:rPr>
                <w:b w:val="0"/>
                <w:sz w:val="17"/>
              </w:rPr>
              <w:t>Maturities</w:t>
            </w:r>
          </w:p>
        </w:tc>
        <w:tc>
          <w:tcPr>
            <w:tcW w:type="dxa" w:w="5083"/>
            <w:vAlign w:val="center"/>
          </w:tcPr>
          <w:p>
            <w:r/>
            <w:r>
              <w:rPr>
                <w:b w:val="0"/>
                <w:sz w:val="17"/>
              </w:rPr>
              <w:t>0.2, 0.4, 0.6, 0.8, 1.0</w:t>
            </w:r>
          </w:p>
        </w:tc>
      </w:tr>
      <w:tr>
        <w:tc>
          <w:tcPr>
            <w:tcW w:type="dxa" w:w="5083"/>
            <w:vAlign w:val="center"/>
          </w:tcPr>
          <w:p>
            <w:r/>
            <w:r>
              <w:rPr>
                <w:b w:val="0"/>
                <w:sz w:val="17"/>
              </w:rPr>
              <w:t>Spots</w:t>
            </w:r>
          </w:p>
        </w:tc>
        <w:tc>
          <w:tcPr>
            <w:tcW w:type="dxa" w:w="5083"/>
            <w:vAlign w:val="center"/>
          </w:tcPr>
          <w:p>
            <w:r/>
            <w:r>
              <w:rPr>
                <w:b w:val="0"/>
                <w:sz w:val="17"/>
              </w:rPr>
              <w:t>90, 95, 100, 105, 110</w:t>
            </w:r>
          </w:p>
        </w:tc>
      </w:tr>
    </w:tbl>
    <w:p/>
    <w:p>
      <w:pPr>
        <w:pStyle w:val="Heading2"/>
      </w:pPr>
      <w:r>
        <w:t>50.1 Heston American-call request</w:t>
      </w:r>
    </w:p>
    <w:p>
      <w:pPr>
        <w:pStyle w:val="NoSpacing"/>
        <w:spacing w:before="60" w:after="120"/>
        <w:ind w:left="259" w:right="72"/>
        <w:shd w:fill="F2F2F2"/>
      </w:pPr>
      <w:r>
        <w:rPr>
          <w:rFonts w:ascii="Consolas" w:hAnsi="Consolas" w:eastAsia="Consolas"/>
          <w:sz w:val="15"/>
        </w:rPr>
        <w:t>american = price(</w:t>
        <w:br/>
        <w:t xml:space="preserve">    "American", "Call",</w:t>
        <w:br/>
        <w:t xml:space="preserve">    underlying="PathIndependentOption",</w:t>
        <w:br/>
        <w:t xml:space="preserve">    wrapper_order="Underlying only",</w:t>
        <w:br/>
        <w:t xml:space="preserve">    S0=spot, K=100.0, r=0.03, sigma=0.20, y=0.05,</w:t>
        <w:br/>
        <w:t xml:space="preserve">    T=maturity, M=50, N=50000, seed=0,</w:t>
        <w:br/>
        <w:t xml:space="preserve">    regression_degree=5, num_exercise_points=50,</w:t>
        <w:br/>
        <w:t xml:space="preserve">    volatility_model="Heston",</w:t>
        <w:br/>
        <w:t xml:space="preserve">    gamma=0.10, kappa=4.0, theta=0.09,</w:t>
        <w:br/>
        <w:t xml:space="preserve">    correlation2=[[1.0, 0.0], [0.0, 1.0]],</w:t>
        <w:br/>
        <w:t xml:space="preserve">    jumps=False,</w:t>
        <w:br/>
        <w:t>)</w:t>
      </w:r>
    </w:p>
    <w:p>
      <w:pPr>
        <w:pStyle w:val="ListBullet"/>
      </w:pPr>
      <w:r>
        <w:t>Check the API estimate against the paper LSM value and confidence interval.</w:t>
      </w:r>
    </w:p>
    <w:p>
      <w:pPr>
        <w:pStyle w:val="ListBullet"/>
      </w:pPr>
      <w:r>
        <w:t>Price the matching European call as a lower-bound comparison.</w:t>
      </w:r>
    </w:p>
    <w:p>
      <w:pPr>
        <w:pStyle w:val="ListBullet"/>
      </w:pPr>
      <w:r>
        <w:t>Use BENCH_FAIL_FAST to convert table deviations from warnings into immediate failures.</w:t>
      </w:r>
    </w:p>
    <w:p>
      <w:pPr>
        <w:pStyle w:val="Heading1"/>
      </w:pPr>
      <w:r>
        <w:t>51. Native nested barriers and lookbacks with jumps</w:t>
      </w:r>
    </w:p>
    <w:p>
      <w:r>
        <w:t>BenchmarkAmericanBermudanNestedBarriersLookbacksJumps_API_ONLY_FLAT_NATIVE.py is the broadest structural grid in this batch. It combines factor configurations, native American/Bermudan lookbacks, both wrapper orders, 17 barrier choices, three underlyings and four payoff types.</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Axis</w:t>
            </w:r>
          </w:p>
        </w:tc>
        <w:tc>
          <w:tcPr>
            <w:tcW w:type="dxa" w:w="5083"/>
            <w:vAlign w:val="center"/>
            <w:shd w:fill="B4C6E7"/>
          </w:tcPr>
          <w:p>
            <w:r/>
            <w:r>
              <w:rPr>
                <w:b/>
                <w:sz w:val="17"/>
              </w:rPr>
              <w:t>Values / count</w:t>
            </w:r>
          </w:p>
        </w:tc>
      </w:tr>
      <w:tr>
        <w:tc>
          <w:tcPr>
            <w:tcW w:type="dxa" w:w="5083"/>
            <w:vAlign w:val="center"/>
          </w:tcPr>
          <w:p>
            <w:r/>
            <w:r>
              <w:rPr>
                <w:b w:val="0"/>
                <w:sz w:val="17"/>
              </w:rPr>
              <w:t>Factor configurations</w:t>
            </w:r>
          </w:p>
        </w:tc>
        <w:tc>
          <w:tcPr>
            <w:tcW w:type="dxa" w:w="5083"/>
            <w:vAlign w:val="center"/>
          </w:tcPr>
          <w:p>
            <w:r/>
            <w:r>
              <w:rPr>
                <w:b w:val="0"/>
                <w:sz w:val="17"/>
              </w:rPr>
              <w:t>4: constant; Vasicek; Heston; Vasicek+Heston</w:t>
            </w:r>
          </w:p>
        </w:tc>
      </w:tr>
      <w:tr>
        <w:tc>
          <w:tcPr>
            <w:tcW w:type="dxa" w:w="5083"/>
            <w:vAlign w:val="center"/>
          </w:tcPr>
          <w:p>
            <w:r/>
            <w:r>
              <w:rPr>
                <w:b w:val="0"/>
                <w:sz w:val="17"/>
              </w:rPr>
              <w:t>Native lookback products</w:t>
            </w:r>
          </w:p>
        </w:tc>
        <w:tc>
          <w:tcPr>
            <w:tcW w:type="dxa" w:w="5083"/>
            <w:vAlign w:val="center"/>
          </w:tcPr>
          <w:p>
            <w:r/>
            <w:r>
              <w:rPr>
                <w:b w:val="0"/>
                <w:sz w:val="17"/>
              </w:rPr>
              <w:t>4</w:t>
            </w:r>
          </w:p>
        </w:tc>
      </w:tr>
      <w:tr>
        <w:tc>
          <w:tcPr>
            <w:tcW w:type="dxa" w:w="5083"/>
            <w:vAlign w:val="center"/>
          </w:tcPr>
          <w:p>
            <w:r/>
            <w:r>
              <w:rPr>
                <w:b w:val="0"/>
                <w:sz w:val="17"/>
              </w:rPr>
              <w:t>Wrapper orders</w:t>
            </w:r>
          </w:p>
        </w:tc>
        <w:tc>
          <w:tcPr>
            <w:tcW w:type="dxa" w:w="5083"/>
            <w:vAlign w:val="center"/>
          </w:tcPr>
          <w:p>
            <w:r/>
            <w:r>
              <w:rPr>
                <w:b w:val="0"/>
                <w:sz w:val="17"/>
              </w:rPr>
              <w:t>2</w:t>
            </w:r>
          </w:p>
        </w:tc>
      </w:tr>
      <w:tr>
        <w:tc>
          <w:tcPr>
            <w:tcW w:type="dxa" w:w="5083"/>
            <w:vAlign w:val="center"/>
          </w:tcPr>
          <w:p>
            <w:r/>
            <w:r>
              <w:rPr>
                <w:b w:val="0"/>
                <w:sz w:val="17"/>
              </w:rPr>
              <w:t>Barrier choices</w:t>
            </w:r>
          </w:p>
        </w:tc>
        <w:tc>
          <w:tcPr>
            <w:tcW w:type="dxa" w:w="5083"/>
            <w:vAlign w:val="center"/>
          </w:tcPr>
          <w:p>
            <w:r/>
            <w:r>
              <w:rPr>
                <w:b w:val="0"/>
                <w:sz w:val="17"/>
              </w:rPr>
              <w:t>17 including None, discrete and continuous variants</w:t>
            </w:r>
          </w:p>
        </w:tc>
      </w:tr>
      <w:tr>
        <w:tc>
          <w:tcPr>
            <w:tcW w:type="dxa" w:w="5083"/>
            <w:vAlign w:val="center"/>
          </w:tcPr>
          <w:p>
            <w:r/>
            <w:r>
              <w:rPr>
                <w:b w:val="0"/>
                <w:sz w:val="17"/>
              </w:rPr>
              <w:t>Underlyings</w:t>
            </w:r>
          </w:p>
        </w:tc>
        <w:tc>
          <w:tcPr>
            <w:tcW w:type="dxa" w:w="5083"/>
            <w:vAlign w:val="center"/>
          </w:tcPr>
          <w:p>
            <w:r/>
            <w:r>
              <w:rPr>
                <w:b w:val="0"/>
                <w:sz w:val="17"/>
              </w:rPr>
              <w:t>3</w:t>
            </w:r>
          </w:p>
        </w:tc>
      </w:tr>
      <w:tr>
        <w:tc>
          <w:tcPr>
            <w:tcW w:type="dxa" w:w="5083"/>
            <w:vAlign w:val="center"/>
          </w:tcPr>
          <w:p>
            <w:r/>
            <w:r>
              <w:rPr>
                <w:b w:val="0"/>
                <w:sz w:val="17"/>
              </w:rPr>
              <w:t>Payoffs</w:t>
            </w:r>
          </w:p>
        </w:tc>
        <w:tc>
          <w:tcPr>
            <w:tcW w:type="dxa" w:w="5083"/>
            <w:vAlign w:val="center"/>
          </w:tcPr>
          <w:p>
            <w:r/>
            <w:r>
              <w:rPr>
                <w:b w:val="0"/>
                <w:sz w:val="17"/>
              </w:rPr>
              <w:t>4: Put, Call, DigitalPut, DigitalCall</w:t>
            </w:r>
          </w:p>
        </w:tc>
      </w:tr>
    </w:tbl>
    <w:p/>
    <w:p>
      <w:r>
        <w:t>The uncapped Cartesian grid contains 4 x 4 x 2 x 17 x 3 x 4 = 6,528 cases. BENCH_MAX_CASES is essential for a fast smoke run.</w:t>
      </w:r>
    </w:p>
    <w:p>
      <w:pPr>
        <w:pStyle w:val="Heading2"/>
      </w:pPr>
      <w:r>
        <w:t>51.1 Nested jump request template</w:t>
      </w:r>
    </w:p>
    <w:p>
      <w:pPr>
        <w:pStyle w:val="NoSpacing"/>
        <w:spacing w:before="60" w:after="120"/>
        <w:ind w:left="259" w:right="72"/>
        <w:shd w:fill="F2F2F2"/>
      </w:pPr>
      <w:r>
        <w:rPr>
          <w:rFonts w:ascii="Consolas" w:hAnsi="Consolas" w:eastAsia="Consolas"/>
          <w:sz w:val="15"/>
        </w:rPr>
        <w:t>result = price(</w:t>
        <w:br/>
        <w:t xml:space="preserve">    exercise, payoff,</w:t>
        <w:br/>
        <w:t xml:space="preserve">    underlying=underlying,</w:t>
        <w:br/>
        <w:t xml:space="preserve">    wrapper_order=order,</w:t>
        <w:br/>
        <w:t xml:space="preserve">    lookback=lookback,</w:t>
        <w:br/>
        <w:t xml:space="preserve">    barrier=barrier,</w:t>
        <w:br/>
        <w:t xml:space="preserve">    up_barrier=120.0, down_barrier=85.0,</w:t>
        <w:br/>
        <w:t xml:space="preserve">    rebate_in=1.0, rebate_out=0.0,</w:t>
        <w:br/>
        <w:t xml:space="preserve">    S0=100, K=100, r=0.05, sigma=0.20, y=0, T=1,</w:t>
        <w:br/>
        <w:t xml:space="preserve">    M=10, N=1000, seed=0,</w:t>
        <w:br/>
        <w:t xml:space="preserve">    regression_degree=3,</w:t>
        <w:br/>
        <w:t xml:space="preserve">    num_exercise_points=(10 if exercise.startswith("LookBackAmerican") else 4),</w:t>
        <w:br/>
        <w:t xml:space="preserve">    rate_model=rate_model,</w:t>
        <w:br/>
        <w:t xml:space="preserve">    volatility_model=volatility_model,</w:t>
        <w:br/>
        <w:t xml:space="preserve">    sigma_R=0.01, rate_a=0.50, rate_b=0.05,</w:t>
        <w:br/>
        <w:t xml:space="preserve">    theta_t=[0.0] * 11, b_t=[0.0] * 11, sigma_t=[0.01] * 11,</w:t>
        <w:br/>
        <w:t xml:space="preserve">    gamma=0.30, kappa=1.50, theta=0.04,</w:t>
        <w:br/>
        <w:t xml:space="preserve">    jumps=True, muJ=0.10, sigmaJ=0.10, Lambda=0.10,</w:t>
        <w:br/>
        <w:t>)</w:t>
      </w:r>
    </w:p>
    <w:p>
      <w:pPr>
        <w:pStyle w:val="Heading2"/>
      </w:pPr>
      <w:r>
        <w:t>51.2 Interpreting wrapper order</w:t>
      </w:r>
    </w:p>
    <w:p>
      <w:pPr>
        <w:pStyle w:val="ListBullet"/>
      </w:pPr>
      <w:r>
        <w:t>Barrier on Lookback means the lookback payoff is formed first and then subjected to the barrier wrapper.</w:t>
      </w:r>
    </w:p>
    <w:p>
      <w:pPr>
        <w:pStyle w:val="ListBullet"/>
      </w:pPr>
      <w:r>
        <w:t>Lookback on Barrier means the barrier-modified product is wrapped by the lookback layer.</w:t>
      </w:r>
    </w:p>
    <w:p>
      <w:pPr>
        <w:pStyle w:val="ListBullet"/>
      </w:pPr>
      <w:r>
        <w:t>The two orders are different financial contracts and should not generally return the same price.</w:t>
      </w:r>
    </w:p>
    <w:p>
      <w:pPr>
        <w:pStyle w:val="ListBullet"/>
      </w:pPr>
      <w:r>
        <w:t>When barrier=None appears in a generated grid, use it as a structural baseline and verify how config_echo records the requested wrapper composition.</w:t>
      </w:r>
    </w:p>
    <w:p>
      <w:pPr>
        <w:pStyle w:val="Heading1"/>
      </w:pPr>
      <w:r>
        <w:t>52. Running this benchmark batch</w:t>
      </w:r>
    </w:p>
    <w:p>
      <w:pPr>
        <w:pStyle w:val="NoSpacing"/>
        <w:spacing w:before="60" w:after="120"/>
        <w:ind w:left="259" w:right="72"/>
        <w:shd w:fill="F2F2F2"/>
      </w:pPr>
      <w:r>
        <w:rPr>
          <w:rFonts w:ascii="Consolas" w:hAnsi="Consolas" w:eastAsia="Consolas"/>
          <w:sz w:val="15"/>
        </w:rPr>
        <w:t>python -m pytest -q -v   "BenchmarkAmericanLSM_API_ONLY_FLAT(1).py"   "BenchmarkAmericanBarriersJumps_API_ONLY_FLAT(1).py"   "BenchmarkAmericanMedvedevScailletTable3_API_ONLY_FLAT(1).py"   "BenchmarkAmericanLookbacksJumps_API_ONLY_FLAT_NATIVE(1).py"   "BenchmarkAmericanLSMLongstaffTable1Jumps_API_ONLY_FLAT(1).py"   "BenchmarkBermudanLSMLongstaffTable1_API_ONLY_FLAT(1).py"   "BenchmarkAmericanLSMJumps_API_ONLY_FLAT_NATIVE(1).py"   "BenchmarkAmericanLookback_API_ONLY_FLAT_NATIVE(1).py"   "BenchmarkAmericanHestonAitSahlia_API_ONLY_FLAT(1).py"   "BenchmarkAmericanBermudanNestedBarriersLookbacksJumps_API_ONLY_FLAT_NATIVE(1).py"</w:t>
      </w:r>
    </w:p>
    <w:p>
      <w:pPr>
        <w:pStyle w:val="Heading2"/>
      </w:pPr>
      <w:r>
        <w:t>52.1 Fast smoke settings</w:t>
      </w:r>
    </w:p>
    <w:p>
      <w:pPr>
        <w:pStyle w:val="NoSpacing"/>
        <w:spacing w:before="60" w:after="120"/>
        <w:ind w:left="259" w:right="72"/>
        <w:shd w:fill="F2F2F2"/>
      </w:pPr>
      <w:r>
        <w:rPr>
          <w:rFonts w:ascii="Consolas" w:hAnsi="Consolas" w:eastAsia="Consolas"/>
          <w:sz w:val="15"/>
        </w:rPr>
        <w:t># Windows Command Prompt examples</w:t>
        <w:br/>
        <w:t>set BENCH_N_PATHS=1000</w:t>
        <w:br/>
        <w:t>set BENCH_N_STEPS=10</w:t>
        <w:br/>
        <w:t>set BENCH_MAX_CASES=20</w:t>
        <w:br/>
        <w:t>set BENCH_FAIL_FAST=0</w:t>
        <w:br/>
        <w:br/>
        <w:t>python -m pytest -q -v "BenchmarkAmericanBermudanNestedBarriersLookbacksJumps_API_ONLY_FLAT_NATIVE(1).py"</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Variable</w:t>
            </w:r>
          </w:p>
        </w:tc>
        <w:tc>
          <w:tcPr>
            <w:tcW w:type="dxa" w:w="5083"/>
            <w:vAlign w:val="center"/>
            <w:shd w:fill="B4C6E7"/>
          </w:tcPr>
          <w:p>
            <w:r/>
            <w:r>
              <w:rPr>
                <w:b/>
                <w:sz w:val="17"/>
              </w:rPr>
              <w:t>Purpose</w:t>
            </w:r>
          </w:p>
        </w:tc>
      </w:tr>
      <w:tr>
        <w:tc>
          <w:tcPr>
            <w:tcW w:type="dxa" w:w="5083"/>
            <w:vAlign w:val="center"/>
          </w:tcPr>
          <w:p>
            <w:r/>
            <w:r>
              <w:rPr>
                <w:b w:val="0"/>
                <w:sz w:val="17"/>
              </w:rPr>
              <w:t>BENCH_N_PATHS</w:t>
            </w:r>
          </w:p>
        </w:tc>
        <w:tc>
          <w:tcPr>
            <w:tcW w:type="dxa" w:w="5083"/>
            <w:vAlign w:val="center"/>
          </w:tcPr>
          <w:p>
            <w:r/>
            <w:r>
              <w:rPr>
                <w:b w:val="0"/>
                <w:sz w:val="17"/>
              </w:rPr>
              <w:t>Monte Carlo paths</w:t>
            </w:r>
          </w:p>
        </w:tc>
      </w:tr>
      <w:tr>
        <w:tc>
          <w:tcPr>
            <w:tcW w:type="dxa" w:w="5083"/>
            <w:vAlign w:val="center"/>
          </w:tcPr>
          <w:p>
            <w:r/>
            <w:r>
              <w:rPr>
                <w:b w:val="0"/>
                <w:sz w:val="17"/>
              </w:rPr>
              <w:t>BENCH_N_STEPS</w:t>
            </w:r>
          </w:p>
        </w:tc>
        <w:tc>
          <w:tcPr>
            <w:tcW w:type="dxa" w:w="5083"/>
            <w:vAlign w:val="center"/>
          </w:tcPr>
          <w:p>
            <w:r/>
            <w:r>
              <w:rPr>
                <w:b w:val="0"/>
                <w:sz w:val="17"/>
              </w:rPr>
              <w:t>Time intervals</w:t>
            </w:r>
          </w:p>
        </w:tc>
      </w:tr>
      <w:tr>
        <w:tc>
          <w:tcPr>
            <w:tcW w:type="dxa" w:w="5083"/>
            <w:vAlign w:val="center"/>
          </w:tcPr>
          <w:p>
            <w:r/>
            <w:r>
              <w:rPr>
                <w:b w:val="0"/>
                <w:sz w:val="17"/>
              </w:rPr>
              <w:t>BENCH_EXERCISE_POINTS / BENCH_BERMUDA_POINTS</w:t>
            </w:r>
          </w:p>
        </w:tc>
        <w:tc>
          <w:tcPr>
            <w:tcW w:type="dxa" w:w="5083"/>
            <w:vAlign w:val="center"/>
          </w:tcPr>
          <w:p>
            <w:r/>
            <w:r>
              <w:rPr>
                <w:b w:val="0"/>
                <w:sz w:val="17"/>
              </w:rPr>
              <w:t>Exercise opportunities</w:t>
            </w:r>
          </w:p>
        </w:tc>
      </w:tr>
      <w:tr>
        <w:tc>
          <w:tcPr>
            <w:tcW w:type="dxa" w:w="5083"/>
            <w:vAlign w:val="center"/>
          </w:tcPr>
          <w:p>
            <w:r/>
            <w:r>
              <w:rPr>
                <w:b w:val="0"/>
                <w:sz w:val="17"/>
              </w:rPr>
              <w:t>BENCH_REG_DEGREE</w:t>
            </w:r>
          </w:p>
        </w:tc>
        <w:tc>
          <w:tcPr>
            <w:tcW w:type="dxa" w:w="5083"/>
            <w:vAlign w:val="center"/>
          </w:tcPr>
          <w:p>
            <w:r/>
            <w:r>
              <w:rPr>
                <w:b w:val="0"/>
                <w:sz w:val="17"/>
              </w:rPr>
              <w:t>LSM polynomial degree</w:t>
            </w:r>
          </w:p>
        </w:tc>
      </w:tr>
      <w:tr>
        <w:tc>
          <w:tcPr>
            <w:tcW w:type="dxa" w:w="5083"/>
            <w:vAlign w:val="center"/>
          </w:tcPr>
          <w:p>
            <w:r/>
            <w:r>
              <w:rPr>
                <w:b w:val="0"/>
                <w:sz w:val="17"/>
              </w:rPr>
              <w:t>BENCH_LAMBDA, BENCH_MUJ, BENCH_SIGMAJ</w:t>
            </w:r>
          </w:p>
        </w:tc>
        <w:tc>
          <w:tcPr>
            <w:tcW w:type="dxa" w:w="5083"/>
            <w:vAlign w:val="center"/>
          </w:tcPr>
          <w:p>
            <w:r/>
            <w:r>
              <w:rPr>
                <w:b w:val="0"/>
                <w:sz w:val="17"/>
              </w:rPr>
              <w:t>Stock-jump parameters</w:t>
            </w:r>
          </w:p>
        </w:tc>
      </w:tr>
      <w:tr>
        <w:tc>
          <w:tcPr>
            <w:tcW w:type="dxa" w:w="5083"/>
            <w:vAlign w:val="center"/>
          </w:tcPr>
          <w:p>
            <w:r/>
            <w:r>
              <w:rPr>
                <w:b w:val="0"/>
                <w:sz w:val="17"/>
              </w:rPr>
              <w:t>BENCH_MAX_CASES</w:t>
            </w:r>
          </w:p>
        </w:tc>
        <w:tc>
          <w:tcPr>
            <w:tcW w:type="dxa" w:w="5083"/>
            <w:vAlign w:val="center"/>
          </w:tcPr>
          <w:p>
            <w:r/>
            <w:r>
              <w:rPr>
                <w:b w:val="0"/>
                <w:sz w:val="17"/>
              </w:rPr>
              <w:t>Limit large Cartesian catalogues</w:t>
            </w:r>
          </w:p>
        </w:tc>
      </w:tr>
      <w:tr>
        <w:tc>
          <w:tcPr>
            <w:tcW w:type="dxa" w:w="5083"/>
            <w:vAlign w:val="center"/>
          </w:tcPr>
          <w:p>
            <w:r/>
            <w:r>
              <w:rPr>
                <w:b w:val="0"/>
                <w:sz w:val="17"/>
              </w:rPr>
              <w:t>BENCH_FAIL_FAST / BENCH_FAIL_ON_MISMATCH</w:t>
            </w:r>
          </w:p>
        </w:tc>
        <w:tc>
          <w:tcPr>
            <w:tcW w:type="dxa" w:w="5083"/>
            <w:vAlign w:val="center"/>
          </w:tcPr>
          <w:p>
            <w:r/>
            <w:r>
              <w:rPr>
                <w:b w:val="0"/>
                <w:sz w:val="17"/>
              </w:rPr>
              <w:t>Strict benchmark behaviour</w:t>
            </w:r>
          </w:p>
        </w:tc>
      </w:tr>
      <w:tr>
        <w:tc>
          <w:tcPr>
            <w:tcW w:type="dxa" w:w="5083"/>
            <w:vAlign w:val="center"/>
          </w:tcPr>
          <w:p>
            <w:r/>
            <w:r>
              <w:rPr>
                <w:b w:val="0"/>
                <w:sz w:val="17"/>
              </w:rPr>
              <w:t>BENCH_NUM_REPETITIONS</w:t>
            </w:r>
          </w:p>
        </w:tc>
        <w:tc>
          <w:tcPr>
            <w:tcW w:type="dxa" w:w="5083"/>
            <w:vAlign w:val="center"/>
          </w:tcPr>
          <w:p>
            <w:r/>
            <w:r>
              <w:rPr>
                <w:b w:val="0"/>
                <w:sz w:val="17"/>
              </w:rPr>
              <w:t>Replication count for variance-reduction methods</w:t>
            </w:r>
          </w:p>
        </w:tc>
      </w:tr>
    </w:tbl>
    <w:p/>
    <w:p>
      <w:pPr>
        <w:pStyle w:val="Heading1"/>
      </w:pPr>
      <w:r>
        <w:t>Appendix E. New source coverage map</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B4C6E7"/>
          </w:tcPr>
          <w:p>
            <w:r/>
            <w:r>
              <w:rPr>
                <w:b/>
                <w:sz w:val="17"/>
              </w:rPr>
              <w:t>Source file</w:t>
            </w:r>
          </w:p>
        </w:tc>
        <w:tc>
          <w:tcPr>
            <w:tcW w:type="dxa" w:w="5083"/>
            <w:vAlign w:val="center"/>
            <w:shd w:fill="B4C6E7"/>
          </w:tcPr>
          <w:p>
            <w:r/>
            <w:r>
              <w:rPr>
                <w:b/>
                <w:sz w:val="17"/>
              </w:rPr>
              <w:t>Tutorial coverage</w:t>
            </w:r>
          </w:p>
        </w:tc>
      </w:tr>
      <w:tr>
        <w:tc>
          <w:tcPr>
            <w:tcW w:type="dxa" w:w="5083"/>
            <w:vAlign w:val="center"/>
          </w:tcPr>
          <w:p>
            <w:r/>
            <w:r>
              <w:rPr>
                <w:b w:val="0"/>
                <w:sz w:val="17"/>
              </w:rPr>
              <w:t>BenchmarkAmericanLSM_API_ONLY_FLAT.py</w:t>
            </w:r>
          </w:p>
        </w:tc>
        <w:tc>
          <w:tcPr>
            <w:tcW w:type="dxa" w:w="5083"/>
            <w:vAlign w:val="center"/>
          </w:tcPr>
          <w:p>
            <w:r/>
            <w:r>
              <w:rPr>
                <w:b w:val="0"/>
                <w:sz w:val="17"/>
              </w:rPr>
              <w:t>Chapter 42</w:t>
            </w:r>
          </w:p>
        </w:tc>
      </w:tr>
      <w:tr>
        <w:tc>
          <w:tcPr>
            <w:tcW w:type="dxa" w:w="5083"/>
            <w:vAlign w:val="center"/>
          </w:tcPr>
          <w:p>
            <w:r/>
            <w:r>
              <w:rPr>
                <w:b w:val="0"/>
                <w:sz w:val="17"/>
              </w:rPr>
              <w:t>BenchmarkAmericanBarriersJumps_API_ONLY_FLAT.py</w:t>
            </w:r>
          </w:p>
        </w:tc>
        <w:tc>
          <w:tcPr>
            <w:tcW w:type="dxa" w:w="5083"/>
            <w:vAlign w:val="center"/>
          </w:tcPr>
          <w:p>
            <w:r/>
            <w:r>
              <w:rPr>
                <w:b w:val="0"/>
                <w:sz w:val="17"/>
              </w:rPr>
              <w:t>Chapter 43</w:t>
            </w:r>
          </w:p>
        </w:tc>
      </w:tr>
      <w:tr>
        <w:tc>
          <w:tcPr>
            <w:tcW w:type="dxa" w:w="5083"/>
            <w:vAlign w:val="center"/>
          </w:tcPr>
          <w:p>
            <w:r/>
            <w:r>
              <w:rPr>
                <w:b w:val="0"/>
                <w:sz w:val="17"/>
              </w:rPr>
              <w:t>BenchmarkAmericanMedvedevScailletTable3_API_ONLY_FLAT.py</w:t>
            </w:r>
          </w:p>
        </w:tc>
        <w:tc>
          <w:tcPr>
            <w:tcW w:type="dxa" w:w="5083"/>
            <w:vAlign w:val="center"/>
          </w:tcPr>
          <w:p>
            <w:r/>
            <w:r>
              <w:rPr>
                <w:b w:val="0"/>
                <w:sz w:val="17"/>
              </w:rPr>
              <w:t>Chapter 44</w:t>
            </w:r>
          </w:p>
        </w:tc>
      </w:tr>
      <w:tr>
        <w:tc>
          <w:tcPr>
            <w:tcW w:type="dxa" w:w="5083"/>
            <w:vAlign w:val="center"/>
          </w:tcPr>
          <w:p>
            <w:r/>
            <w:r>
              <w:rPr>
                <w:b w:val="0"/>
                <w:sz w:val="17"/>
              </w:rPr>
              <w:t>BenchmarkAmericanLookbacksJumps_API_ONLY_FLAT_NATIVE.py</w:t>
            </w:r>
          </w:p>
        </w:tc>
        <w:tc>
          <w:tcPr>
            <w:tcW w:type="dxa" w:w="5083"/>
            <w:vAlign w:val="center"/>
          </w:tcPr>
          <w:p>
            <w:r/>
            <w:r>
              <w:rPr>
                <w:b w:val="0"/>
                <w:sz w:val="17"/>
              </w:rPr>
              <w:t>Chapter 45</w:t>
            </w:r>
          </w:p>
        </w:tc>
      </w:tr>
      <w:tr>
        <w:tc>
          <w:tcPr>
            <w:tcW w:type="dxa" w:w="5083"/>
            <w:vAlign w:val="center"/>
          </w:tcPr>
          <w:p>
            <w:r/>
            <w:r>
              <w:rPr>
                <w:b w:val="0"/>
                <w:sz w:val="17"/>
              </w:rPr>
              <w:t>BenchmarkAmericanLSMLongstaffTable1Jumps_API_ONLY_FLAT.py</w:t>
            </w:r>
          </w:p>
        </w:tc>
        <w:tc>
          <w:tcPr>
            <w:tcW w:type="dxa" w:w="5083"/>
            <w:vAlign w:val="center"/>
          </w:tcPr>
          <w:p>
            <w:r/>
            <w:r>
              <w:rPr>
                <w:b w:val="0"/>
                <w:sz w:val="17"/>
              </w:rPr>
              <w:t>Chapter 46</w:t>
            </w:r>
          </w:p>
        </w:tc>
      </w:tr>
      <w:tr>
        <w:tc>
          <w:tcPr>
            <w:tcW w:type="dxa" w:w="5083"/>
            <w:vAlign w:val="center"/>
          </w:tcPr>
          <w:p>
            <w:r/>
            <w:r>
              <w:rPr>
                <w:b w:val="0"/>
                <w:sz w:val="17"/>
              </w:rPr>
              <w:t>BenchmarkBermudanLSMLongstaffTable1_API_ONLY_FLAT.py</w:t>
            </w:r>
          </w:p>
        </w:tc>
        <w:tc>
          <w:tcPr>
            <w:tcW w:type="dxa" w:w="5083"/>
            <w:vAlign w:val="center"/>
          </w:tcPr>
          <w:p>
            <w:r/>
            <w:r>
              <w:rPr>
                <w:b w:val="0"/>
                <w:sz w:val="17"/>
              </w:rPr>
              <w:t>Chapter 47</w:t>
            </w:r>
          </w:p>
        </w:tc>
      </w:tr>
      <w:tr>
        <w:tc>
          <w:tcPr>
            <w:tcW w:type="dxa" w:w="5083"/>
            <w:vAlign w:val="center"/>
          </w:tcPr>
          <w:p>
            <w:r/>
            <w:r>
              <w:rPr>
                <w:b w:val="0"/>
                <w:sz w:val="17"/>
              </w:rPr>
              <w:t>BenchmarkAmericanLSMJumps_API_ONLY_FLAT_NATIVE.py</w:t>
            </w:r>
          </w:p>
        </w:tc>
        <w:tc>
          <w:tcPr>
            <w:tcW w:type="dxa" w:w="5083"/>
            <w:vAlign w:val="center"/>
          </w:tcPr>
          <w:p>
            <w:r/>
            <w:r>
              <w:rPr>
                <w:b w:val="0"/>
                <w:sz w:val="17"/>
              </w:rPr>
              <w:t>Chapter 48</w:t>
            </w:r>
          </w:p>
        </w:tc>
      </w:tr>
      <w:tr>
        <w:tc>
          <w:tcPr>
            <w:tcW w:type="dxa" w:w="5083"/>
            <w:vAlign w:val="center"/>
          </w:tcPr>
          <w:p>
            <w:r/>
            <w:r>
              <w:rPr>
                <w:b w:val="0"/>
                <w:sz w:val="17"/>
              </w:rPr>
              <w:t>BenchmarkAmericanLookback_API_ONLY_FLAT_NATIVE.py</w:t>
            </w:r>
          </w:p>
        </w:tc>
        <w:tc>
          <w:tcPr>
            <w:tcW w:type="dxa" w:w="5083"/>
            <w:vAlign w:val="center"/>
          </w:tcPr>
          <w:p>
            <w:r/>
            <w:r>
              <w:rPr>
                <w:b w:val="0"/>
                <w:sz w:val="17"/>
              </w:rPr>
              <w:t>Chapter 49</w:t>
            </w:r>
          </w:p>
        </w:tc>
      </w:tr>
      <w:tr>
        <w:tc>
          <w:tcPr>
            <w:tcW w:type="dxa" w:w="5083"/>
            <w:vAlign w:val="center"/>
          </w:tcPr>
          <w:p>
            <w:r/>
            <w:r>
              <w:rPr>
                <w:b w:val="0"/>
                <w:sz w:val="17"/>
              </w:rPr>
              <w:t>BenchmarkAmericanHestonAitSahlia_API_ONLY_FLAT.py</w:t>
            </w:r>
          </w:p>
        </w:tc>
        <w:tc>
          <w:tcPr>
            <w:tcW w:type="dxa" w:w="5083"/>
            <w:vAlign w:val="center"/>
          </w:tcPr>
          <w:p>
            <w:r/>
            <w:r>
              <w:rPr>
                <w:b w:val="0"/>
                <w:sz w:val="17"/>
              </w:rPr>
              <w:t>Chapter 50</w:t>
            </w:r>
          </w:p>
        </w:tc>
      </w:tr>
      <w:tr>
        <w:tc>
          <w:tcPr>
            <w:tcW w:type="dxa" w:w="5083"/>
            <w:vAlign w:val="center"/>
          </w:tcPr>
          <w:p>
            <w:r/>
            <w:r>
              <w:rPr>
                <w:b w:val="0"/>
                <w:sz w:val="17"/>
              </w:rPr>
              <w:t>BenchmarkAmericanBermudanNestedBarriersLookbacksJumps_API_ONLY_FLAT_NATIVE.py</w:t>
            </w:r>
          </w:p>
        </w:tc>
        <w:tc>
          <w:tcPr>
            <w:tcW w:type="dxa" w:w="5083"/>
            <w:vAlign w:val="center"/>
          </w:tcPr>
          <w:p>
            <w:r/>
            <w:r>
              <w:rPr>
                <w:b w:val="0"/>
                <w:sz w:val="17"/>
              </w:rPr>
              <w:t>Chapter 51</w:t>
            </w:r>
          </w:p>
        </w:tc>
      </w:tr>
    </w:tbl>
    <w:p/>
    <w:p>
      <w:r>
        <w:br w:type="page"/>
      </w:r>
    </w:p>
    <w:p>
      <w:pPr>
        <w:pStyle w:val="Heading1"/>
      </w:pPr>
      <w:r>
        <w:t>Chapter 53. Degenerate Ho-Lee, Vasicek, CIR and Extended-CIR Limits</w:t>
      </w:r>
    </w:p>
    <w:p>
      <w:r>
        <w:t>This chapter shows how to activate each stochastic-rate model through the flat price() API and how to verify that its zero-volatility limit collapses to the constant-rate model.</w:t>
      </w:r>
    </w:p>
    <w:p>
      <w:pPr>
        <w:pStyle w:val="Heading2"/>
      </w:pPr>
      <w:r>
        <w:t>What this tutorial teaches</w:t>
      </w:r>
    </w:p>
    <w:p>
      <w:pPr>
        <w:pStyle w:val="ListBullet"/>
      </w:pPr>
      <w:r>
        <w:t>Configure Ho-Lee, Vasicek, CIR and ExtendedCIR without direct low-level vectors.</w:t>
      </w:r>
    </w:p>
    <w:p>
      <w:pPr>
        <w:pStyle w:val="ListBullet"/>
      </w:pPr>
      <w:r>
        <w:t>Provide theta_t, b_t and sigma_t arrays of length M + 1.</w:t>
      </w:r>
    </w:p>
    <w:p>
      <w:pPr>
        <w:pStyle w:val="ListBullet"/>
      </w:pPr>
      <w:r>
        <w:t>Use correlation2 when the stock and short-rate factors are both active.</w:t>
      </w:r>
    </w:p>
    <w:p>
      <w:pPr>
        <w:pStyle w:val="ListBullet"/>
      </w:pPr>
      <w:r>
        <w:t>Compare stochastic-rate and constant-rate prices with a combined Monte Carlo tolerance plus an absolute floor.</w:t>
      </w:r>
    </w:p>
    <w:p>
      <w:pPr>
        <w:pStyle w:val="Heading2"/>
      </w:pPr>
      <w:r>
        <w:t>Rate-model limit configurations</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rPr>
          <w:tblHeader w:val="true"/>
        </w:trPr>
        <w:tc>
          <w:tcPr>
            <w:tcW w:type="dxa" w:w="1694"/>
            <w:shd w:fill="D9EAF7"/>
            <w:vAlign w:val="center"/>
          </w:tcPr>
          <w:p>
            <w:r>
              <w:rPr>
                <w:b/>
                <w:sz w:val="16"/>
              </w:rPr>
              <w:t>Label</w:t>
            </w:r>
          </w:p>
        </w:tc>
        <w:tc>
          <w:tcPr>
            <w:tcW w:type="dxa" w:w="1694"/>
            <w:shd w:fill="D9EAF7"/>
            <w:vAlign w:val="center"/>
          </w:tcPr>
          <w:p>
            <w:r>
              <w:rPr>
                <w:b/>
                <w:sz w:val="16"/>
              </w:rPr>
              <w:t>rate_model</w:t>
            </w:r>
          </w:p>
        </w:tc>
        <w:tc>
          <w:tcPr>
            <w:tcW w:type="dxa" w:w="1694"/>
            <w:shd w:fill="D9EAF7"/>
            <w:vAlign w:val="center"/>
          </w:tcPr>
          <w:p>
            <w:r>
              <w:rPr>
                <w:b/>
                <w:sz w:val="16"/>
              </w:rPr>
              <w:t>sigma_R</w:t>
            </w:r>
          </w:p>
        </w:tc>
        <w:tc>
          <w:tcPr>
            <w:tcW w:type="dxa" w:w="1694"/>
            <w:shd w:fill="D9EAF7"/>
            <w:vAlign w:val="center"/>
          </w:tcPr>
          <w:p>
            <w:r>
              <w:rPr>
                <w:b/>
                <w:sz w:val="16"/>
              </w:rPr>
              <w:t>rate_a</w:t>
            </w:r>
          </w:p>
        </w:tc>
        <w:tc>
          <w:tcPr>
            <w:tcW w:type="dxa" w:w="1694"/>
            <w:shd w:fill="D9EAF7"/>
            <w:vAlign w:val="center"/>
          </w:tcPr>
          <w:p>
            <w:r>
              <w:rPr>
                <w:b/>
                <w:sz w:val="16"/>
              </w:rPr>
              <w:t>rate_b</w:t>
            </w:r>
          </w:p>
        </w:tc>
        <w:tc>
          <w:tcPr>
            <w:tcW w:type="dxa" w:w="1694"/>
            <w:shd w:fill="D9EAF7"/>
            <w:vAlign w:val="center"/>
          </w:tcPr>
          <w:p>
            <w:r>
              <w:rPr>
                <w:b/>
                <w:sz w:val="16"/>
              </w:rPr>
              <w:t>theta_t / b_t / sigma_t</w:t>
            </w:r>
          </w:p>
        </w:tc>
      </w:tr>
      <w:tr>
        <w:tc>
          <w:tcPr>
            <w:tcW w:type="dxa" w:w="1694"/>
            <w:vAlign w:val="top"/>
          </w:tcPr>
          <w:p>
            <w:r>
              <w:rPr>
                <w:sz w:val="15"/>
              </w:rPr>
              <w:t>HoLee</w:t>
            </w:r>
          </w:p>
        </w:tc>
        <w:tc>
          <w:tcPr>
            <w:tcW w:type="dxa" w:w="1694"/>
            <w:vAlign w:val="top"/>
          </w:tcPr>
          <w:p>
            <w:r>
              <w:rPr>
                <w:sz w:val="15"/>
              </w:rPr>
              <w:t>HoLee</w:t>
            </w:r>
          </w:p>
        </w:tc>
        <w:tc>
          <w:tcPr>
            <w:tcW w:type="dxa" w:w="1694"/>
            <w:vAlign w:val="top"/>
          </w:tcPr>
          <w:p>
            <w:r>
              <w:rPr>
                <w:sz w:val="15"/>
              </w:rPr>
              <w:t>0.0</w:t>
            </w:r>
          </w:p>
        </w:tc>
        <w:tc>
          <w:tcPr>
            <w:tcW w:type="dxa" w:w="1694"/>
            <w:vAlign w:val="top"/>
          </w:tcPr>
          <w:p>
            <w:r>
              <w:rPr>
                <w:sz w:val="15"/>
              </w:rPr>
              <w:t>0.0</w:t>
            </w:r>
          </w:p>
        </w:tc>
        <w:tc>
          <w:tcPr>
            <w:tcW w:type="dxa" w:w="1694"/>
            <w:vAlign w:val="top"/>
          </w:tcPr>
          <w:p>
            <w:r>
              <w:rPr>
                <w:sz w:val="15"/>
              </w:rPr>
              <w:t>0.05</w:t>
            </w:r>
          </w:p>
        </w:tc>
        <w:tc>
          <w:tcPr>
            <w:tcW w:type="dxa" w:w="1694"/>
            <w:vAlign w:val="top"/>
          </w:tcPr>
          <w:p>
            <w:r>
              <w:rPr>
                <w:sz w:val="15"/>
              </w:rPr>
              <w:t>0 / 0.05 / 0</w:t>
            </w:r>
          </w:p>
        </w:tc>
      </w:tr>
      <w:tr>
        <w:tc>
          <w:tcPr>
            <w:tcW w:type="dxa" w:w="1694"/>
            <w:vAlign w:val="top"/>
          </w:tcPr>
          <w:p>
            <w:r>
              <w:rPr>
                <w:sz w:val="15"/>
              </w:rPr>
              <w:t>Vasicek</w:t>
            </w:r>
          </w:p>
        </w:tc>
        <w:tc>
          <w:tcPr>
            <w:tcW w:type="dxa" w:w="1694"/>
            <w:vAlign w:val="top"/>
          </w:tcPr>
          <w:p>
            <w:r>
              <w:rPr>
                <w:sz w:val="15"/>
              </w:rPr>
              <w:t>Vasicek</w:t>
            </w:r>
          </w:p>
        </w:tc>
        <w:tc>
          <w:tcPr>
            <w:tcW w:type="dxa" w:w="1694"/>
            <w:vAlign w:val="top"/>
          </w:tcPr>
          <w:p>
            <w:r>
              <w:rPr>
                <w:sz w:val="15"/>
              </w:rPr>
              <w:t>0.0</w:t>
            </w:r>
          </w:p>
        </w:tc>
        <w:tc>
          <w:tcPr>
            <w:tcW w:type="dxa" w:w="1694"/>
            <w:vAlign w:val="top"/>
          </w:tcPr>
          <w:p>
            <w:r>
              <w:rPr>
                <w:sz w:val="15"/>
              </w:rPr>
              <w:t>0.5</w:t>
            </w:r>
          </w:p>
        </w:tc>
        <w:tc>
          <w:tcPr>
            <w:tcW w:type="dxa" w:w="1694"/>
            <w:vAlign w:val="top"/>
          </w:tcPr>
          <w:p>
            <w:r>
              <w:rPr>
                <w:sz w:val="15"/>
              </w:rPr>
              <w:t>0.05</w:t>
            </w:r>
          </w:p>
        </w:tc>
        <w:tc>
          <w:tcPr>
            <w:tcW w:type="dxa" w:w="1694"/>
            <w:vAlign w:val="top"/>
          </w:tcPr>
          <w:p>
            <w:r>
              <w:rPr>
                <w:sz w:val="15"/>
              </w:rPr>
              <w:t>0 / 0.05 / 0</w:t>
            </w:r>
          </w:p>
        </w:tc>
      </w:tr>
      <w:tr>
        <w:tc>
          <w:tcPr>
            <w:tcW w:type="dxa" w:w="1694"/>
            <w:vAlign w:val="top"/>
          </w:tcPr>
          <w:p>
            <w:r>
              <w:rPr>
                <w:sz w:val="15"/>
              </w:rPr>
              <w:t>CIR</w:t>
            </w:r>
          </w:p>
        </w:tc>
        <w:tc>
          <w:tcPr>
            <w:tcW w:type="dxa" w:w="1694"/>
            <w:vAlign w:val="top"/>
          </w:tcPr>
          <w:p>
            <w:r>
              <w:rPr>
                <w:sz w:val="15"/>
              </w:rPr>
              <w:t>CIR</w:t>
            </w:r>
          </w:p>
        </w:tc>
        <w:tc>
          <w:tcPr>
            <w:tcW w:type="dxa" w:w="1694"/>
            <w:vAlign w:val="top"/>
          </w:tcPr>
          <w:p>
            <w:r>
              <w:rPr>
                <w:sz w:val="15"/>
              </w:rPr>
              <w:t>0.0</w:t>
            </w:r>
          </w:p>
        </w:tc>
        <w:tc>
          <w:tcPr>
            <w:tcW w:type="dxa" w:w="1694"/>
            <w:vAlign w:val="top"/>
          </w:tcPr>
          <w:p>
            <w:r>
              <w:rPr>
                <w:sz w:val="15"/>
              </w:rPr>
              <w:t>0.5</w:t>
            </w:r>
          </w:p>
        </w:tc>
        <w:tc>
          <w:tcPr>
            <w:tcW w:type="dxa" w:w="1694"/>
            <w:vAlign w:val="top"/>
          </w:tcPr>
          <w:p>
            <w:r>
              <w:rPr>
                <w:sz w:val="15"/>
              </w:rPr>
              <w:t>0.05</w:t>
            </w:r>
          </w:p>
        </w:tc>
        <w:tc>
          <w:tcPr>
            <w:tcW w:type="dxa" w:w="1694"/>
            <w:vAlign w:val="top"/>
          </w:tcPr>
          <w:p>
            <w:r>
              <w:rPr>
                <w:sz w:val="15"/>
              </w:rPr>
              <w:t>0 / 0.05 / 0</w:t>
            </w:r>
          </w:p>
        </w:tc>
      </w:tr>
      <w:tr>
        <w:tc>
          <w:tcPr>
            <w:tcW w:type="dxa" w:w="1694"/>
            <w:vAlign w:val="top"/>
          </w:tcPr>
          <w:p>
            <w:r>
              <w:rPr>
                <w:sz w:val="15"/>
              </w:rPr>
              <w:t>ExtendedCIR R²/R</w:t>
            </w:r>
          </w:p>
        </w:tc>
        <w:tc>
          <w:tcPr>
            <w:tcW w:type="dxa" w:w="1694"/>
            <w:vAlign w:val="top"/>
          </w:tcPr>
          <w:p>
            <w:r>
              <w:rPr>
                <w:sz w:val="15"/>
              </w:rPr>
              <w:t>ExtendedCIR</w:t>
            </w:r>
          </w:p>
        </w:tc>
        <w:tc>
          <w:tcPr>
            <w:tcW w:type="dxa" w:w="1694"/>
            <w:vAlign w:val="top"/>
          </w:tcPr>
          <w:p>
            <w:r>
              <w:rPr>
                <w:sz w:val="15"/>
              </w:rPr>
              <w:t>0.0</w:t>
            </w:r>
          </w:p>
        </w:tc>
        <w:tc>
          <w:tcPr>
            <w:tcW w:type="dxa" w:w="1694"/>
            <w:vAlign w:val="top"/>
          </w:tcPr>
          <w:p>
            <w:r>
              <w:rPr>
                <w:sz w:val="15"/>
              </w:rPr>
              <w:t>0.5</w:t>
            </w:r>
          </w:p>
        </w:tc>
        <w:tc>
          <w:tcPr>
            <w:tcW w:type="dxa" w:w="1694"/>
            <w:vAlign w:val="top"/>
          </w:tcPr>
          <w:p>
            <w:r>
              <w:rPr>
                <w:sz w:val="15"/>
              </w:rPr>
              <w:t>0.05</w:t>
            </w:r>
          </w:p>
        </w:tc>
        <w:tc>
          <w:tcPr>
            <w:tcW w:type="dxa" w:w="1694"/>
            <w:vAlign w:val="top"/>
          </w:tcPr>
          <w:p>
            <w:r>
              <w:rPr>
                <w:sz w:val="15"/>
              </w:rPr>
              <w:t>R² / R / 0</w:t>
            </w:r>
          </w:p>
        </w:tc>
      </w:tr>
      <w:tr>
        <w:tc>
          <w:tcPr>
            <w:tcW w:type="dxa" w:w="1694"/>
            <w:vAlign w:val="top"/>
          </w:tcPr>
          <w:p>
            <w:r>
              <w:rPr>
                <w:sz w:val="15"/>
              </w:rPr>
              <w:t>ExtendedCIR R/1</w:t>
            </w:r>
          </w:p>
        </w:tc>
        <w:tc>
          <w:tcPr>
            <w:tcW w:type="dxa" w:w="1694"/>
            <w:vAlign w:val="top"/>
          </w:tcPr>
          <w:p>
            <w:r>
              <w:rPr>
                <w:sz w:val="15"/>
              </w:rPr>
              <w:t>ExtendedCIR</w:t>
            </w:r>
          </w:p>
        </w:tc>
        <w:tc>
          <w:tcPr>
            <w:tcW w:type="dxa" w:w="1694"/>
            <w:vAlign w:val="top"/>
          </w:tcPr>
          <w:p>
            <w:r>
              <w:rPr>
                <w:sz w:val="15"/>
              </w:rPr>
              <w:t>0.0</w:t>
            </w:r>
          </w:p>
        </w:tc>
        <w:tc>
          <w:tcPr>
            <w:tcW w:type="dxa" w:w="1694"/>
            <w:vAlign w:val="top"/>
          </w:tcPr>
          <w:p>
            <w:r>
              <w:rPr>
                <w:sz w:val="15"/>
              </w:rPr>
              <w:t>0.5</w:t>
            </w:r>
          </w:p>
        </w:tc>
        <w:tc>
          <w:tcPr>
            <w:tcW w:type="dxa" w:w="1694"/>
            <w:vAlign w:val="top"/>
          </w:tcPr>
          <w:p>
            <w:r>
              <w:rPr>
                <w:sz w:val="15"/>
              </w:rPr>
              <w:t>0.05</w:t>
            </w:r>
          </w:p>
        </w:tc>
        <w:tc>
          <w:tcPr>
            <w:tcW w:type="dxa" w:w="1694"/>
            <w:vAlign w:val="top"/>
          </w:tcPr>
          <w:p>
            <w:r>
              <w:rPr>
                <w:sz w:val="15"/>
              </w:rPr>
              <w:t>R / 1 / 0</w:t>
            </w:r>
          </w:p>
        </w:tc>
      </w:tr>
    </w:tbl>
    <w:p>
      <w:pPr>
        <w:pStyle w:val="Heading2"/>
      </w:pPr>
      <w:r>
        <w:t>Core flat API pattern</w:t>
      </w:r>
    </w:p>
    <w:p>
      <w:pPr>
        <w:spacing w:after="60"/>
        <w:ind w:left="216" w:right="72"/>
        <w:shd w:fill="F3F4F6"/>
      </w:pPr>
      <w:r>
        <w:rPr>
          <w:rFonts w:ascii="Consolas" w:hAnsi="Consolas" w:eastAsia="Consolas"/>
          <w:sz w:val="15"/>
        </w:rPr>
        <w:t>constant = price(</w:t>
        <w:br/>
        <w:t xml:space="preserve">    "European", "Call",</w:t>
        <w:br/>
        <w:t xml:space="preserve">    underlying="PathIndependentOption",</w:t>
        <w:br/>
        <w:t xml:space="preserve">    wrapper_order="Underlying only",</w:t>
        <w:br/>
        <w:t xml:space="preserve">    S0=100.0, K=100.0, r=0.05, sigma=0.20, y=0.0, T=1.0,</w:t>
        <w:br/>
        <w:t xml:space="preserve">    M=50, N=200000, seed=0,</w:t>
        <w:br/>
        <w:t xml:space="preserve">    rate_model="Constant",</w:t>
        <w:br/>
        <w:t xml:space="preserve">    volatility_model="Constant",</w:t>
        <w:br/>
        <w:t xml:space="preserve">    dividend_model="Constant",</w:t>
        <w:br/>
        <w:t xml:space="preserve">    sentiment_model="Constant",</w:t>
        <w:br/>
        <w:t xml:space="preserve">    sentiment_vol_model="Constant",</w:t>
        <w:br/>
        <w:t xml:space="preserve">    jumps=False, random_generator="Standard",</w:t>
        <w:br/>
        <w:t xml:space="preserve">    sampling="None", wiener="Vanilla"</w:t>
        <w:br/>
        <w:t>)</w:t>
        <w:br/>
        <w:br/>
        <w:t>extended_cir = price(</w:t>
        <w:br/>
        <w:t xml:space="preserve">    "European", "Call",</w:t>
        <w:br/>
        <w:t xml:space="preserve">    underlying="PathIndependentOption",</w:t>
        <w:br/>
        <w:t xml:space="preserve">    wrapper_order="Underlying only",</w:t>
        <w:br/>
        <w:t xml:space="preserve">    S0=100.0, K=100.0, r=0.05, sigma=0.20, y=0.0, T=1.0,</w:t>
        <w:br/>
        <w:t xml:space="preserve">    M=50, N=200000, seed=0,</w:t>
        <w:br/>
        <w:t xml:space="preserve">    rate_model="ExtendedCIR",</w:t>
        <w:br/>
        <w:t xml:space="preserve">    sigma_R=0.0, rate_a=0.5, rate_b=0.05,</w:t>
        <w:br/>
        <w:t xml:space="preserve">    theta_t=[0.05**2] * 51,</w:t>
        <w:br/>
        <w:t xml:space="preserve">    b_t=[0.05] * 51,</w:t>
        <w:br/>
        <w:t xml:space="preserve">    sigma_t=[0.0] * 51,</w:t>
        <w:br/>
        <w:t xml:space="preserve">    correlation2=[[1.0, 0.0], [0.0, 1.0]],</w:t>
        <w:br/>
        <w:t xml:space="preserve">    volatility_model="Constant",</w:t>
        <w:br/>
        <w:t xml:space="preserve">    dividend_model="Constant",</w:t>
        <w:br/>
        <w:t xml:space="preserve">    sentiment_model="Constant",</w:t>
        <w:br/>
        <w:t xml:space="preserve">    sentiment_vol_model="Constant",</w:t>
        <w:br/>
        <w:t xml:space="preserve">    jumps=False</w:t>
        <w:br/>
        <w:t>)</w:t>
      </w:r>
    </w:p>
    <w:p>
      <w:pPr>
        <w:pStyle w:val="Heading2"/>
      </w:pPr>
      <w:r>
        <w:t>How to validate the result</w:t>
      </w:r>
    </w:p>
    <w:p>
      <w:pPr>
        <w:pStyle w:val="ListBullet"/>
      </w:pPr>
      <w:r>
        <w:t>Both prices and standard errors must be finite and non-negative.</w:t>
      </w:r>
    </w:p>
    <w:p>
      <w:pPr>
        <w:pStyle w:val="ListBullet"/>
      </w:pPr>
      <w:r>
        <w:t>Use tolerance = TOL_SE * sqrt(se_constant^2 + se_model^2) + ABS_FLOOR.</w:t>
      </w:r>
    </w:p>
    <w:p>
      <w:pPr>
        <w:pStyle w:val="ListBullet"/>
      </w:pPr>
      <w:r>
        <w:t>Confirm config_echo.rate_model resolves to HoLeeRate, VasicekRate, CoxIngersollRoss or ExtendedCIR.</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BENCH_N_PATHS</w:t>
            </w:r>
          </w:p>
        </w:tc>
        <w:tc>
          <w:tcPr>
            <w:tcW w:type="dxa" w:w="5083"/>
            <w:vAlign w:val="top"/>
          </w:tcPr>
          <w:p>
            <w:r>
              <w:rPr>
                <w:sz w:val="15"/>
              </w:rPr>
              <w:t>200000</w:t>
            </w:r>
          </w:p>
        </w:tc>
      </w:tr>
      <w:tr>
        <w:tc>
          <w:tcPr>
            <w:tcW w:type="dxa" w:w="5083"/>
            <w:vAlign w:val="top"/>
          </w:tcPr>
          <w:p>
            <w:r>
              <w:rPr>
                <w:sz w:val="15"/>
              </w:rPr>
              <w:t>BENCH_N_STEPS</w:t>
            </w:r>
          </w:p>
        </w:tc>
        <w:tc>
          <w:tcPr>
            <w:tcW w:type="dxa" w:w="5083"/>
            <w:vAlign w:val="top"/>
          </w:tcPr>
          <w:p>
            <w:r>
              <w:rPr>
                <w:sz w:val="15"/>
              </w:rPr>
              <w:t>50</w:t>
            </w:r>
          </w:p>
        </w:tc>
      </w:tr>
      <w:tr>
        <w:tc>
          <w:tcPr>
            <w:tcW w:type="dxa" w:w="5083"/>
            <w:vAlign w:val="top"/>
          </w:tcPr>
          <w:p>
            <w:r>
              <w:rPr>
                <w:sz w:val="15"/>
              </w:rPr>
              <w:t>BENCH_SEED</w:t>
            </w:r>
          </w:p>
        </w:tc>
        <w:tc>
          <w:tcPr>
            <w:tcW w:type="dxa" w:w="5083"/>
            <w:vAlign w:val="top"/>
          </w:tcPr>
          <w:p>
            <w:r>
              <w:rPr>
                <w:sz w:val="15"/>
              </w:rPr>
              <w:t>0</w:t>
            </w:r>
          </w:p>
        </w:tc>
      </w:tr>
      <w:tr>
        <w:tc>
          <w:tcPr>
            <w:tcW w:type="dxa" w:w="5083"/>
            <w:vAlign w:val="top"/>
          </w:tcPr>
          <w:p>
            <w:r>
              <w:rPr>
                <w:sz w:val="15"/>
              </w:rPr>
              <w:t>BENCH_TOL_SE</w:t>
            </w:r>
          </w:p>
        </w:tc>
        <w:tc>
          <w:tcPr>
            <w:tcW w:type="dxa" w:w="5083"/>
            <w:vAlign w:val="top"/>
          </w:tcPr>
          <w:p>
            <w:r>
              <w:rPr>
                <w:sz w:val="15"/>
              </w:rPr>
              <w:t>4.0</w:t>
            </w:r>
          </w:p>
        </w:tc>
      </w:tr>
      <w:tr>
        <w:tc>
          <w:tcPr>
            <w:tcW w:type="dxa" w:w="5083"/>
            <w:vAlign w:val="top"/>
          </w:tcPr>
          <w:p>
            <w:r>
              <w:rPr>
                <w:sz w:val="15"/>
              </w:rPr>
              <w:t>BENCH_ABS_FLOOR</w:t>
            </w:r>
          </w:p>
        </w:tc>
        <w:tc>
          <w:tcPr>
            <w:tcW w:type="dxa" w:w="5083"/>
            <w:vAlign w:val="top"/>
          </w:tcPr>
          <w:p>
            <w:r>
              <w:rPr>
                <w:sz w:val="15"/>
              </w:rPr>
              <w:t>0.01</w:t>
            </w:r>
          </w:p>
        </w:tc>
      </w:tr>
    </w:tbl>
    <w:p>
      <w:pPr>
        <w:pStyle w:val="Heading2"/>
      </w:pPr>
      <w:r>
        <w:t>Run the benchmark</w:t>
      </w:r>
    </w:p>
    <w:p>
      <w:pPr>
        <w:spacing w:after="60"/>
        <w:ind w:left="216" w:right="72"/>
        <w:shd w:fill="F3F4F6"/>
      </w:pPr>
      <w:r>
        <w:rPr>
          <w:rFonts w:ascii="Consolas" w:hAnsi="Consolas" w:eastAsia="Consolas"/>
          <w:sz w:val="16"/>
        </w:rPr>
        <w:t>python -m pytest -q -v "BenchmarkHoLeeExtendedCIR_API_ONLY_FLAT(1).py"</w:t>
      </w:r>
    </w:p>
    <w:p>
      <w:r>
        <w:br w:type="page"/>
      </w:r>
    </w:p>
    <w:p>
      <w:pPr>
        <w:pStyle w:val="Heading1"/>
      </w:pPr>
      <w:r>
        <w:t>Chapter 54. Nested Lookback-Barrier Identities and Native Exercise Ordering</w:t>
      </w:r>
    </w:p>
    <w:p>
      <w:r>
        <w:t>This chapter turns the nested-wrapper tests into a practical guide for validating wrapper composition, in/out parity and early-exercise ordering.</w:t>
      </w:r>
    </w:p>
    <w:p>
      <w:pPr>
        <w:pStyle w:val="Heading2"/>
      </w:pPr>
      <w:r>
        <w:t>What this tutorial teaches</w:t>
      </w:r>
    </w:p>
    <w:p>
      <w:pPr>
        <w:pStyle w:val="ListBullet"/>
      </w:pPr>
      <w:r>
        <w:t>Use exact wrapper strings to control whether lookback or barrier is outermost.</w:t>
      </w:r>
    </w:p>
    <w:p>
      <w:pPr>
        <w:pStyle w:val="ListBullet"/>
      </w:pPr>
      <w:r>
        <w:t>Check that an effectively infinite double knock-out barrier reproduces the plain lookback.</w:t>
      </w:r>
    </w:p>
    <w:p>
      <w:pPr>
        <w:pStyle w:val="ListBullet"/>
      </w:pPr>
      <w:r>
        <w:t>Check double-knock-in plus double-knock-out parity for lookback-on-barrier.</w:t>
      </w:r>
    </w:p>
    <w:p>
      <w:pPr>
        <w:pStyle w:val="ListBullet"/>
      </w:pPr>
      <w:r>
        <w:t>Check up-in plus up-out parity for barrier-on-lookback.</w:t>
      </w:r>
    </w:p>
    <w:p>
      <w:pPr>
        <w:pStyle w:val="ListBullet"/>
      </w:pPr>
      <w:r>
        <w:t>Compare European, Bermudan and American native fixed-strike lookbacks under the same nested contract.</w:t>
      </w:r>
    </w:p>
    <w:p>
      <w:pPr>
        <w:pStyle w:val="Heading2"/>
      </w:pPr>
      <w:r>
        <w:t>Contracts exercised</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Lookback</w:t>
            </w:r>
          </w:p>
        </w:tc>
        <w:tc>
          <w:tcPr>
            <w:tcW w:type="dxa" w:w="5083"/>
            <w:shd w:fill="D9EAF7"/>
            <w:vAlign w:val="center"/>
          </w:tcPr>
          <w:p>
            <w:r>
              <w:rPr>
                <w:b/>
                <w:sz w:val="16"/>
              </w:rPr>
              <w:t>Payoffs</w:t>
            </w:r>
          </w:p>
        </w:tc>
      </w:tr>
      <w:tr>
        <w:tc>
          <w:tcPr>
            <w:tcW w:type="dxa" w:w="5083"/>
            <w:vAlign w:val="top"/>
          </w:tcPr>
          <w:p>
            <w:r>
              <w:rPr>
                <w:sz w:val="15"/>
              </w:rPr>
              <w:t>LookbacksFixedStrike</w:t>
            </w:r>
          </w:p>
        </w:tc>
        <w:tc>
          <w:tcPr>
            <w:tcW w:type="dxa" w:w="5083"/>
            <w:vAlign w:val="top"/>
          </w:tcPr>
          <w:p>
            <w:r>
              <w:rPr>
                <w:sz w:val="15"/>
              </w:rPr>
              <w:t>Call, Put</w:t>
            </w:r>
          </w:p>
        </w:tc>
      </w:tr>
      <w:tr>
        <w:tc>
          <w:tcPr>
            <w:tcW w:type="dxa" w:w="5083"/>
            <w:vAlign w:val="top"/>
          </w:tcPr>
          <w:p>
            <w:r>
              <w:rPr>
                <w:sz w:val="15"/>
              </w:rPr>
              <w:t>LookbacksFloatingStrike</w:t>
            </w:r>
          </w:p>
        </w:tc>
        <w:tc>
          <w:tcPr>
            <w:tcW w:type="dxa" w:w="5083"/>
            <w:vAlign w:val="top"/>
          </w:tcPr>
          <w:p>
            <w:r>
              <w:rPr>
                <w:sz w:val="15"/>
              </w:rPr>
              <w:t>Call, Put</w:t>
            </w:r>
          </w:p>
        </w:tc>
      </w:tr>
    </w:tbl>
    <w:p>
      <w:pPr>
        <w:pStyle w:val="Heading2"/>
      </w:pPr>
      <w:r>
        <w:t>Wrapper orders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Order</w:t>
            </w:r>
          </w:p>
        </w:tc>
        <w:tc>
          <w:tcPr>
            <w:tcW w:type="dxa" w:w="5083"/>
            <w:shd w:fill="D9EAF7"/>
            <w:vAlign w:val="center"/>
          </w:tcPr>
          <w:p>
            <w:r>
              <w:rPr>
                <w:b/>
                <w:sz w:val="16"/>
              </w:rPr>
              <w:t>Meaning</w:t>
            </w:r>
          </w:p>
        </w:tc>
      </w:tr>
      <w:tr>
        <w:tc>
          <w:tcPr>
            <w:tcW w:type="dxa" w:w="5083"/>
            <w:vAlign w:val="top"/>
          </w:tcPr>
          <w:p>
            <w:r>
              <w:rPr>
                <w:sz w:val="15"/>
              </w:rPr>
              <w:t>Lookback on Barrier on underlying</w:t>
            </w:r>
          </w:p>
        </w:tc>
        <w:tc>
          <w:tcPr>
            <w:tcW w:type="dxa" w:w="5083"/>
            <w:vAlign w:val="top"/>
          </w:tcPr>
          <w:p>
            <w:r>
              <w:rPr>
                <w:sz w:val="15"/>
              </w:rPr>
              <w:t>Lookback is outer wrapper</w:t>
            </w:r>
          </w:p>
        </w:tc>
      </w:tr>
      <w:tr>
        <w:tc>
          <w:tcPr>
            <w:tcW w:type="dxa" w:w="5083"/>
            <w:vAlign w:val="top"/>
          </w:tcPr>
          <w:p>
            <w:r>
              <w:rPr>
                <w:sz w:val="15"/>
              </w:rPr>
              <w:t>Barrier on Lookback on underlying</w:t>
            </w:r>
          </w:p>
        </w:tc>
        <w:tc>
          <w:tcPr>
            <w:tcW w:type="dxa" w:w="5083"/>
            <w:vAlign w:val="top"/>
          </w:tcPr>
          <w:p>
            <w:r>
              <w:rPr>
                <w:sz w:val="15"/>
              </w:rPr>
              <w:t>Barrier is outer wrapper</w:t>
            </w:r>
          </w:p>
        </w:tc>
      </w:tr>
    </w:tbl>
    <w:p>
      <w:pPr>
        <w:pStyle w:val="Heading2"/>
      </w:pPr>
      <w:r>
        <w:t>Core flat API pattern</w:t>
      </w:r>
    </w:p>
    <w:p>
      <w:pPr>
        <w:spacing w:after="60"/>
        <w:ind w:left="216" w:right="72"/>
        <w:shd w:fill="F3F4F6"/>
      </w:pPr>
      <w:r>
        <w:rPr>
          <w:rFonts w:ascii="Consolas" w:hAnsi="Consolas" w:eastAsia="Consolas"/>
          <w:sz w:val="15"/>
        </w:rPr>
        <w:t>plain = price(</w:t>
        <w:br/>
        <w:t xml:space="preserve">    "European", "Call",</w:t>
        <w:br/>
        <w:t xml:space="preserve">    underlying="PathIndependentOption",</w:t>
        <w:br/>
        <w:t xml:space="preserve">    wrapper_order="Lookback on underlying",</w:t>
        <w:br/>
        <w:t xml:space="preserve">    lookback="LookbacksFixedStrike",</w:t>
        <w:br/>
        <w:t xml:space="preserve">    S0=100, K=100, r=0.10, sigma=0.30, y=0, T=0.20,</w:t>
        <w:br/>
        <w:t xml:space="preserve">    M=50, N=200000, seed=0</w:t>
        <w:br/>
        <w:t>)</w:t>
        <w:br/>
        <w:br/>
        <w:t>nested = price(</w:t>
        <w:br/>
        <w:t xml:space="preserve">    "European", "Call",</w:t>
        <w:br/>
        <w:t xml:space="preserve">    underlying="PathIndependentOption",</w:t>
        <w:br/>
        <w:t xml:space="preserve">    wrapper_order="Lookback on Barrier on underlying",</w:t>
        <w:br/>
        <w:t xml:space="preserve">    barrier="DoubleKnockOutBarrier",</w:t>
        <w:br/>
        <w:t xml:space="preserve">    lookback="LookbacksFixedStrike",</w:t>
        <w:br/>
        <w:t xml:space="preserve">    up_barrier=1.0e12, down_barrier=0.0,</w:t>
        <w:br/>
        <w:t xml:space="preserve">    rebate_in=0.0, rebate_out=0.0,</w:t>
        <w:br/>
        <w:t xml:space="preserve">    S0=100, K=100, r=0.10, sigma=0.30, y=0, T=0.20,</w:t>
        <w:br/>
        <w:t xml:space="preserve">    M=50, N=200000, seed=0</w:t>
        <w:br/>
        <w:t>)</w:t>
      </w:r>
    </w:p>
    <w:p>
      <w:pPr>
        <w:pStyle w:val="Heading2"/>
      </w:pPr>
      <w:r>
        <w:t>How to validate the result</w:t>
      </w:r>
    </w:p>
    <w:p>
      <w:pPr>
        <w:pStyle w:val="ListBullet"/>
      </w:pPr>
      <w:r>
        <w:t>Wide-barrier identity can be tested to machine precision when the same paths are reused.</w:t>
      </w:r>
    </w:p>
    <w:p>
      <w:pPr>
        <w:pStyle w:val="ListBullet"/>
      </w:pPr>
      <w:r>
        <w:t>For statistical comparisons, combine standard errors in quadrature.</w:t>
      </w:r>
    </w:p>
    <w:p>
      <w:pPr>
        <w:pStyle w:val="ListBullet"/>
      </w:pPr>
      <w:r>
        <w:t>Bermudan value should not fall materially below European; American should not fall materially below Bermudan.</w:t>
      </w:r>
    </w:p>
    <w:p>
      <w:pPr>
        <w:pStyle w:val="ListBullet"/>
      </w:pPr>
      <w:r>
        <w:t>Native lookback exercise names already encode fixed/floating structure; use the matching lookback argument for request echoing.</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BENCH_N_STEPS</w:t>
            </w:r>
          </w:p>
        </w:tc>
        <w:tc>
          <w:tcPr>
            <w:tcW w:type="dxa" w:w="5083"/>
            <w:vAlign w:val="top"/>
          </w:tcPr>
          <w:p>
            <w:r>
              <w:rPr>
                <w:sz w:val="15"/>
              </w:rPr>
              <w:t>50</w:t>
            </w:r>
          </w:p>
        </w:tc>
      </w:tr>
      <w:tr>
        <w:tc>
          <w:tcPr>
            <w:tcW w:type="dxa" w:w="5083"/>
            <w:vAlign w:val="top"/>
          </w:tcPr>
          <w:p>
            <w:r>
              <w:rPr>
                <w:sz w:val="15"/>
              </w:rPr>
              <w:t>BENCH_N_PATHS</w:t>
            </w:r>
          </w:p>
        </w:tc>
        <w:tc>
          <w:tcPr>
            <w:tcW w:type="dxa" w:w="5083"/>
            <w:vAlign w:val="top"/>
          </w:tcPr>
          <w:p>
            <w:r>
              <w:rPr>
                <w:sz w:val="15"/>
              </w:rPr>
              <w:t>200000</w:t>
            </w:r>
          </w:p>
        </w:tc>
      </w:tr>
      <w:tr>
        <w:tc>
          <w:tcPr>
            <w:tcW w:type="dxa" w:w="5083"/>
            <w:vAlign w:val="top"/>
          </w:tcPr>
          <w:p>
            <w:r>
              <w:rPr>
                <w:sz w:val="15"/>
              </w:rPr>
              <w:t>BENCH_SEED</w:t>
            </w:r>
          </w:p>
        </w:tc>
        <w:tc>
          <w:tcPr>
            <w:tcW w:type="dxa" w:w="5083"/>
            <w:vAlign w:val="top"/>
          </w:tcPr>
          <w:p>
            <w:r>
              <w:rPr>
                <w:sz w:val="15"/>
              </w:rPr>
              <w:t>0</w:t>
            </w:r>
          </w:p>
        </w:tc>
      </w:tr>
      <w:tr>
        <w:tc>
          <w:tcPr>
            <w:tcW w:type="dxa" w:w="5083"/>
            <w:vAlign w:val="top"/>
          </w:tcPr>
          <w:p>
            <w:r>
              <w:rPr>
                <w:sz w:val="15"/>
              </w:rPr>
              <w:t>BENCH_TOL_SE</w:t>
            </w:r>
          </w:p>
        </w:tc>
        <w:tc>
          <w:tcPr>
            <w:tcW w:type="dxa" w:w="5083"/>
            <w:vAlign w:val="top"/>
          </w:tcPr>
          <w:p>
            <w:r>
              <w:rPr>
                <w:sz w:val="15"/>
              </w:rPr>
              <w:t>4.0</w:t>
            </w:r>
          </w:p>
        </w:tc>
      </w:tr>
      <w:tr>
        <w:tc>
          <w:tcPr>
            <w:tcW w:type="dxa" w:w="5083"/>
            <w:vAlign w:val="top"/>
          </w:tcPr>
          <w:p>
            <w:r>
              <w:rPr>
                <w:sz w:val="15"/>
              </w:rPr>
              <w:t>BENCH_REG_DEGREE</w:t>
            </w:r>
          </w:p>
        </w:tc>
        <w:tc>
          <w:tcPr>
            <w:tcW w:type="dxa" w:w="5083"/>
            <w:vAlign w:val="top"/>
          </w:tcPr>
          <w:p>
            <w:r>
              <w:rPr>
                <w:sz w:val="15"/>
              </w:rPr>
              <w:t>3</w:t>
            </w:r>
          </w:p>
        </w:tc>
      </w:tr>
    </w:tbl>
    <w:p>
      <w:pPr>
        <w:pStyle w:val="Heading2"/>
      </w:pPr>
      <w:r>
        <w:t>Run the benchmark</w:t>
      </w:r>
    </w:p>
    <w:p>
      <w:pPr>
        <w:spacing w:after="60"/>
        <w:ind w:left="216" w:right="72"/>
        <w:shd w:fill="F3F4F6"/>
      </w:pPr>
      <w:r>
        <w:rPr>
          <w:rFonts w:ascii="Consolas" w:hAnsi="Consolas" w:eastAsia="Consolas"/>
          <w:sz w:val="16"/>
        </w:rPr>
        <w:t>python -m pytest -q -v "BenchmarkNestedLookbackBarrier_API_ONLY_FLAT_NATIVE(1).py"</w:t>
      </w:r>
    </w:p>
    <w:p>
      <w:r>
        <w:br w:type="page"/>
      </w:r>
    </w:p>
    <w:p>
      <w:pPr>
        <w:pStyle w:val="Heading1"/>
      </w:pPr>
      <w:r>
        <w:t>Chapter 55. European Barrier Catalogue with Stock Jumps and Stochastic Factors</w:t>
      </w:r>
    </w:p>
    <w:p>
      <w:r>
        <w:t>This chapter presents the complete barrier-jump catalogue: eight barrier types, three underlying payoff structures and seven model configurations.</w:t>
      </w:r>
    </w:p>
    <w:p>
      <w:pPr>
        <w:pStyle w:val="Heading2"/>
      </w:pPr>
      <w:r>
        <w:t>What this tutorial teaches</w:t>
      </w:r>
    </w:p>
    <w:p>
      <w:pPr>
        <w:pStyle w:val="ListBullet"/>
      </w:pPr>
      <w:r>
        <w:t>Activate the stock jump generator with jumps=True and positive Lambda.</w:t>
      </w:r>
    </w:p>
    <w:p>
      <w:pPr>
        <w:pStyle w:val="ListBullet"/>
      </w:pPr>
      <w:r>
        <w:t>Combine barriers with vanilla, arithmetic-Asian and geometric-Asian underlyings.</w:t>
      </w:r>
    </w:p>
    <w:p>
      <w:pPr>
        <w:pStyle w:val="ListBullet"/>
      </w:pPr>
      <w:r>
        <w:t>Layer constant or Vasicek rates, constant or Heston volatility and constant or stochastic sentiment.</w:t>
      </w:r>
    </w:p>
    <w:p>
      <w:pPr>
        <w:pStyle w:val="ListBullet"/>
      </w:pPr>
      <w:r>
        <w:t>Provide correlation2 and correlation3 matrices for active factor dimensions.</w:t>
      </w:r>
    </w:p>
    <w:p>
      <w:pPr>
        <w:pStyle w:val="Heading2"/>
      </w:pPr>
      <w:r>
        <w:t>Barrier classes</w:t>
      </w:r>
    </w:p>
    <w:tbl>
      <w:tblPr>
        <w:tblStyle w:val="TableGrid"/>
        <w:tblW w:type="auto" w:w="0"/>
        <w:jc w:val="center"/>
        <w:tblLook w:firstColumn="1" w:firstRow="1" w:lastColumn="0" w:lastRow="0" w:noHBand="0" w:noVBand="1" w:val="04A0"/>
      </w:tblPr>
      <w:tblGrid>
        <w:gridCol w:w="10166"/>
      </w:tblGrid>
      <w:tr>
        <w:trPr>
          <w:tblHeader w:val="true"/>
        </w:trPr>
        <w:tc>
          <w:tcPr>
            <w:tcW w:type="dxa" w:w="10166"/>
            <w:shd w:fill="D9EAF7"/>
            <w:vAlign w:val="center"/>
          </w:tcPr>
          <w:p>
            <w:r>
              <w:rPr>
                <w:b/>
                <w:sz w:val="16"/>
              </w:rPr>
              <w:t>Barrier</w:t>
            </w:r>
          </w:p>
        </w:tc>
      </w:tr>
      <w:tr>
        <w:tc>
          <w:tcPr>
            <w:tcW w:type="dxa" w:w="10166"/>
            <w:vAlign w:val="top"/>
          </w:tcPr>
          <w:p>
            <w:r>
              <w:rPr>
                <w:sz w:val="15"/>
              </w:rPr>
              <w:t>DownAndInBarrier</w:t>
            </w:r>
          </w:p>
        </w:tc>
      </w:tr>
      <w:tr>
        <w:tc>
          <w:tcPr>
            <w:tcW w:type="dxa" w:w="10166"/>
            <w:vAlign w:val="top"/>
          </w:tcPr>
          <w:p>
            <w:r>
              <w:rPr>
                <w:sz w:val="15"/>
              </w:rPr>
              <w:t>DownAndOutBarrier</w:t>
            </w:r>
          </w:p>
        </w:tc>
      </w:tr>
      <w:tr>
        <w:tc>
          <w:tcPr>
            <w:tcW w:type="dxa" w:w="10166"/>
            <w:vAlign w:val="top"/>
          </w:tcPr>
          <w:p>
            <w:r>
              <w:rPr>
                <w:sz w:val="15"/>
              </w:rPr>
              <w:t>UpAndInBarrier</w:t>
            </w:r>
          </w:p>
        </w:tc>
      </w:tr>
      <w:tr>
        <w:tc>
          <w:tcPr>
            <w:tcW w:type="dxa" w:w="10166"/>
            <w:vAlign w:val="top"/>
          </w:tcPr>
          <w:p>
            <w:r>
              <w:rPr>
                <w:sz w:val="15"/>
              </w:rPr>
              <w:t>UpAndOutBarrier</w:t>
            </w:r>
          </w:p>
        </w:tc>
      </w:tr>
      <w:tr>
        <w:tc>
          <w:tcPr>
            <w:tcW w:type="dxa" w:w="10166"/>
            <w:vAlign w:val="top"/>
          </w:tcPr>
          <w:p>
            <w:r>
              <w:rPr>
                <w:sz w:val="15"/>
              </w:rPr>
              <w:t>DoubleKnockInBarrier</w:t>
            </w:r>
          </w:p>
        </w:tc>
      </w:tr>
      <w:tr>
        <w:tc>
          <w:tcPr>
            <w:tcW w:type="dxa" w:w="10166"/>
            <w:vAlign w:val="top"/>
          </w:tcPr>
          <w:p>
            <w:r>
              <w:rPr>
                <w:sz w:val="15"/>
              </w:rPr>
              <w:t>DoubleKnockOutBarrier</w:t>
            </w:r>
          </w:p>
        </w:tc>
      </w:tr>
      <w:tr>
        <w:tc>
          <w:tcPr>
            <w:tcW w:type="dxa" w:w="10166"/>
            <w:vAlign w:val="top"/>
          </w:tcPr>
          <w:p>
            <w:r>
              <w:rPr>
                <w:sz w:val="15"/>
              </w:rPr>
              <w:t>UpKnockInDownKnockOutBarrier</w:t>
            </w:r>
          </w:p>
        </w:tc>
      </w:tr>
      <w:tr>
        <w:tc>
          <w:tcPr>
            <w:tcW w:type="dxa" w:w="10166"/>
            <w:vAlign w:val="top"/>
          </w:tcPr>
          <w:p>
            <w:r>
              <w:rPr>
                <w:sz w:val="15"/>
              </w:rPr>
              <w:t>UpKnockOutDownKnockInBarrier</w:t>
            </w:r>
          </w:p>
        </w:tc>
      </w:tr>
    </w:tbl>
    <w:p>
      <w:pPr>
        <w:pStyle w:val="Heading2"/>
      </w:pPr>
      <w:r>
        <w:t>Model configurations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D9EAF7"/>
            <w:vAlign w:val="center"/>
          </w:tcPr>
          <w:p>
            <w:r>
              <w:rPr>
                <w:b/>
                <w:sz w:val="16"/>
              </w:rPr>
              <w:t>Rate</w:t>
            </w:r>
          </w:p>
        </w:tc>
        <w:tc>
          <w:tcPr>
            <w:tcW w:type="dxa" w:w="3389"/>
            <w:shd w:fill="D9EAF7"/>
            <w:vAlign w:val="center"/>
          </w:tcPr>
          <w:p>
            <w:r>
              <w:rPr>
                <w:b/>
                <w:sz w:val="16"/>
              </w:rPr>
              <w:t>Volatility</w:t>
            </w:r>
          </w:p>
        </w:tc>
        <w:tc>
          <w:tcPr>
            <w:tcW w:type="dxa" w:w="3389"/>
            <w:shd w:fill="D9EAF7"/>
            <w:vAlign w:val="center"/>
          </w:tcPr>
          <w:p>
            <w:r>
              <w:rPr>
                <w:b/>
                <w:sz w:val="16"/>
              </w:rPr>
              <w:t>Sentiment</w:t>
            </w:r>
          </w:p>
        </w:tc>
      </w:tr>
      <w:tr>
        <w:tc>
          <w:tcPr>
            <w:tcW w:type="dxa" w:w="3389"/>
            <w:vAlign w:val="top"/>
          </w:tcPr>
          <w:p>
            <w:r>
              <w:rPr>
                <w:sz w:val="15"/>
              </w:rPr>
              <w:t>Constant</w:t>
            </w:r>
          </w:p>
        </w:tc>
        <w:tc>
          <w:tcPr>
            <w:tcW w:type="dxa" w:w="3389"/>
            <w:vAlign w:val="top"/>
          </w:tcPr>
          <w:p>
            <w:r>
              <w:rPr>
                <w:sz w:val="15"/>
              </w:rPr>
              <w:t>Constant</w:t>
            </w:r>
          </w:p>
        </w:tc>
        <w:tc>
          <w:tcPr>
            <w:tcW w:type="dxa" w:w="3389"/>
            <w:vAlign w:val="top"/>
          </w:tcPr>
          <w:p>
            <w:r>
              <w:rPr>
                <w:sz w:val="15"/>
              </w:rPr>
              <w:t>Constant</w:t>
            </w:r>
          </w:p>
        </w:tc>
      </w:tr>
      <w:tr>
        <w:tc>
          <w:tcPr>
            <w:tcW w:type="dxa" w:w="3389"/>
            <w:vAlign w:val="top"/>
          </w:tcPr>
          <w:p>
            <w:r>
              <w:rPr>
                <w:sz w:val="15"/>
              </w:rPr>
              <w:t>Constant</w:t>
            </w:r>
          </w:p>
        </w:tc>
        <w:tc>
          <w:tcPr>
            <w:tcW w:type="dxa" w:w="3389"/>
            <w:vAlign w:val="top"/>
          </w:tcPr>
          <w:p>
            <w:r>
              <w:rPr>
                <w:sz w:val="15"/>
              </w:rPr>
              <w:t>Heston</w:t>
            </w:r>
          </w:p>
        </w:tc>
        <w:tc>
          <w:tcPr>
            <w:tcW w:type="dxa" w:w="3389"/>
            <w:vAlign w:val="top"/>
          </w:tcPr>
          <w:p>
            <w:r>
              <w:rPr>
                <w:sz w:val="15"/>
              </w:rPr>
              <w:t>Constant</w:t>
            </w:r>
          </w:p>
        </w:tc>
      </w:tr>
      <w:tr>
        <w:tc>
          <w:tcPr>
            <w:tcW w:type="dxa" w:w="3389"/>
            <w:vAlign w:val="top"/>
          </w:tcPr>
          <w:p>
            <w:r>
              <w:rPr>
                <w:sz w:val="15"/>
              </w:rPr>
              <w:t>Vasicek</w:t>
            </w:r>
          </w:p>
        </w:tc>
        <w:tc>
          <w:tcPr>
            <w:tcW w:type="dxa" w:w="3389"/>
            <w:vAlign w:val="top"/>
          </w:tcPr>
          <w:p>
            <w:r>
              <w:rPr>
                <w:sz w:val="15"/>
              </w:rPr>
              <w:t>Constant</w:t>
            </w:r>
          </w:p>
        </w:tc>
        <w:tc>
          <w:tcPr>
            <w:tcW w:type="dxa" w:w="3389"/>
            <w:vAlign w:val="top"/>
          </w:tcPr>
          <w:p>
            <w:r>
              <w:rPr>
                <w:sz w:val="15"/>
              </w:rPr>
              <w:t>Constant</w:t>
            </w:r>
          </w:p>
        </w:tc>
      </w:tr>
      <w:tr>
        <w:tc>
          <w:tcPr>
            <w:tcW w:type="dxa" w:w="3389"/>
            <w:vAlign w:val="top"/>
          </w:tcPr>
          <w:p>
            <w:r>
              <w:rPr>
                <w:sz w:val="15"/>
              </w:rPr>
              <w:t>Vasicek</w:t>
            </w:r>
          </w:p>
        </w:tc>
        <w:tc>
          <w:tcPr>
            <w:tcW w:type="dxa" w:w="3389"/>
            <w:vAlign w:val="top"/>
          </w:tcPr>
          <w:p>
            <w:r>
              <w:rPr>
                <w:sz w:val="15"/>
              </w:rPr>
              <w:t>Heston</w:t>
            </w:r>
          </w:p>
        </w:tc>
        <w:tc>
          <w:tcPr>
            <w:tcW w:type="dxa" w:w="3389"/>
            <w:vAlign w:val="top"/>
          </w:tcPr>
          <w:p>
            <w:r>
              <w:rPr>
                <w:sz w:val="15"/>
              </w:rPr>
              <w:t>Constant</w:t>
            </w:r>
          </w:p>
        </w:tc>
      </w:tr>
      <w:tr>
        <w:tc>
          <w:tcPr>
            <w:tcW w:type="dxa" w:w="3389"/>
            <w:vAlign w:val="top"/>
          </w:tcPr>
          <w:p>
            <w:r>
              <w:rPr>
                <w:sz w:val="15"/>
              </w:rPr>
              <w:t>Constant</w:t>
            </w:r>
          </w:p>
        </w:tc>
        <w:tc>
          <w:tcPr>
            <w:tcW w:type="dxa" w:w="3389"/>
            <w:vAlign w:val="top"/>
          </w:tcPr>
          <w:p>
            <w:r>
              <w:rPr>
                <w:sz w:val="15"/>
              </w:rPr>
              <w:t>Constant</w:t>
            </w:r>
          </w:p>
        </w:tc>
        <w:tc>
          <w:tcPr>
            <w:tcW w:type="dxa" w:w="3389"/>
            <w:vAlign w:val="top"/>
          </w:tcPr>
          <w:p>
            <w:r>
              <w:rPr>
                <w:sz w:val="15"/>
              </w:rPr>
              <w:t>Stochastic</w:t>
            </w:r>
          </w:p>
        </w:tc>
      </w:tr>
      <w:tr>
        <w:tc>
          <w:tcPr>
            <w:tcW w:type="dxa" w:w="3389"/>
            <w:vAlign w:val="top"/>
          </w:tcPr>
          <w:p>
            <w:r>
              <w:rPr>
                <w:sz w:val="15"/>
              </w:rPr>
              <w:t>Constant</w:t>
            </w:r>
          </w:p>
        </w:tc>
        <w:tc>
          <w:tcPr>
            <w:tcW w:type="dxa" w:w="3389"/>
            <w:vAlign w:val="top"/>
          </w:tcPr>
          <w:p>
            <w:r>
              <w:rPr>
                <w:sz w:val="15"/>
              </w:rPr>
              <w:t>Heston</w:t>
            </w:r>
          </w:p>
        </w:tc>
        <w:tc>
          <w:tcPr>
            <w:tcW w:type="dxa" w:w="3389"/>
            <w:vAlign w:val="top"/>
          </w:tcPr>
          <w:p>
            <w:r>
              <w:rPr>
                <w:sz w:val="15"/>
              </w:rPr>
              <w:t>Stochastic</w:t>
            </w:r>
          </w:p>
        </w:tc>
      </w:tr>
      <w:tr>
        <w:tc>
          <w:tcPr>
            <w:tcW w:type="dxa" w:w="3389"/>
            <w:vAlign w:val="top"/>
          </w:tcPr>
          <w:p>
            <w:r>
              <w:rPr>
                <w:sz w:val="15"/>
              </w:rPr>
              <w:t>Vasicek</w:t>
            </w:r>
          </w:p>
        </w:tc>
        <w:tc>
          <w:tcPr>
            <w:tcW w:type="dxa" w:w="3389"/>
            <w:vAlign w:val="top"/>
          </w:tcPr>
          <w:p>
            <w:r>
              <w:rPr>
                <w:sz w:val="15"/>
              </w:rPr>
              <w:t>Heston</w:t>
            </w:r>
          </w:p>
        </w:tc>
        <w:tc>
          <w:tcPr>
            <w:tcW w:type="dxa" w:w="3389"/>
            <w:vAlign w:val="top"/>
          </w:tcPr>
          <w:p>
            <w:r>
              <w:rPr>
                <w:sz w:val="15"/>
              </w:rPr>
              <w:t>Stochastic</w:t>
            </w:r>
          </w:p>
        </w:tc>
      </w:tr>
    </w:tbl>
    <w:p>
      <w:pPr>
        <w:pStyle w:val="Heading2"/>
      </w:pPr>
      <w:r>
        <w:t>Core flat API pattern</w:t>
      </w:r>
    </w:p>
    <w:p>
      <w:pPr>
        <w:spacing w:after="60"/>
        <w:ind w:left="216" w:right="72"/>
        <w:shd w:fill="F3F4F6"/>
      </w:pPr>
      <w:r>
        <w:rPr>
          <w:rFonts w:ascii="Consolas" w:hAnsi="Consolas" w:eastAsia="Consolas"/>
          <w:sz w:val="15"/>
        </w:rPr>
        <w:t>result = price(</w:t>
        <w:br/>
        <w:t xml:space="preserve">    "European", "Call",</w:t>
        <w:br/>
        <w:t xml:space="preserve">    underlying="PathArithmeticAsianOption",</w:t>
        <w:br/>
        <w:t xml:space="preserve">    wrapper_order="Barrier on underlying",</w:t>
        <w:br/>
        <w:t xml:space="preserve">    barrier="UpKnockInDownKnockOutBarrier",</w:t>
        <w:br/>
        <w:t xml:space="preserve">    up_barrier=120.0, down_barrier=85.0,</w:t>
        <w:br/>
        <w:t xml:space="preserve">    rebate_in=1.0, rebate_out=0.0,</w:t>
        <w:br/>
        <w:t xml:space="preserve">    S0=100, K=100, r=0.05, sigma=0.20, y=0, T=1,</w:t>
        <w:br/>
        <w:t xml:space="preserve">    M=16, N=8000, seed=0,</w:t>
        <w:br/>
        <w:t xml:space="preserve">    jumps=True, muJ=0.0, sigmaJ=0.10, Lambda=0.50,</w:t>
        <w:br/>
        <w:t xml:space="preserve">    rate_model="Vasicek", sigma_R=0.01, rate_a=0.50, rate_b=0.05,</w:t>
        <w:br/>
        <w:t xml:space="preserve">    volatility_model="Heston", gamma=0.30, kappa=1.50, theta=0.04,</w:t>
        <w:br/>
        <w:t xml:space="preserve">    sentiment_model="Stochastic", sentiment0=1.0,</w:t>
        <w:br/>
        <w:t xml:space="preserve">    mu_sent=0.05, sigma_sent=0.20,</w:t>
        <w:br/>
        <w:t xml:space="preserve">    correlation3=[[1,0,0],[0,1,0],[0,0,1]]</w:t>
        <w:br/>
        <w:t>)</w:t>
      </w:r>
    </w:p>
    <w:p>
      <w:pPr>
        <w:pStyle w:val="Heading2"/>
      </w:pPr>
      <w:r>
        <w:t>How to validate the result</w:t>
      </w:r>
    </w:p>
    <w:p>
      <w:pPr>
        <w:pStyle w:val="ListBullet"/>
      </w:pPr>
      <w:r>
        <w:t>Price and standard error must be finite; price must be non-negative.</w:t>
      </w:r>
    </w:p>
    <w:p>
      <w:pPr>
        <w:pStyle w:val="ListBullet"/>
      </w:pPr>
      <w:r>
        <w:t>config_echo.barrier must equal the requested barrier class.</w:t>
      </w:r>
    </w:p>
    <w:p>
      <w:pPr>
        <w:pStyle w:val="ListBullet"/>
      </w:pPr>
      <w:r>
        <w:t>config_echo.stock_jumps_enabled must be True.</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BENCH_N_PATHS</w:t>
            </w:r>
          </w:p>
        </w:tc>
        <w:tc>
          <w:tcPr>
            <w:tcW w:type="dxa" w:w="5083"/>
            <w:vAlign w:val="top"/>
          </w:tcPr>
          <w:p>
            <w:r>
              <w:rPr>
                <w:sz w:val="15"/>
              </w:rPr>
              <w:t>8000</w:t>
            </w:r>
          </w:p>
        </w:tc>
      </w:tr>
      <w:tr>
        <w:tc>
          <w:tcPr>
            <w:tcW w:type="dxa" w:w="5083"/>
            <w:vAlign w:val="top"/>
          </w:tcPr>
          <w:p>
            <w:r>
              <w:rPr>
                <w:sz w:val="15"/>
              </w:rPr>
              <w:t>BENCH_N_STEPS</w:t>
            </w:r>
          </w:p>
        </w:tc>
        <w:tc>
          <w:tcPr>
            <w:tcW w:type="dxa" w:w="5083"/>
            <w:vAlign w:val="top"/>
          </w:tcPr>
          <w:p>
            <w:r>
              <w:rPr>
                <w:sz w:val="15"/>
              </w:rPr>
              <w:t>16</w:t>
            </w:r>
          </w:p>
        </w:tc>
      </w:tr>
      <w:tr>
        <w:tc>
          <w:tcPr>
            <w:tcW w:type="dxa" w:w="5083"/>
            <w:vAlign w:val="top"/>
          </w:tcPr>
          <w:p>
            <w:r>
              <w:rPr>
                <w:sz w:val="15"/>
              </w:rPr>
              <w:t>BENCH_LAMBDA</w:t>
            </w:r>
          </w:p>
        </w:tc>
        <w:tc>
          <w:tcPr>
            <w:tcW w:type="dxa" w:w="5083"/>
            <w:vAlign w:val="top"/>
          </w:tcPr>
          <w:p>
            <w:r>
              <w:rPr>
                <w:sz w:val="15"/>
              </w:rPr>
              <w:t>0.5</w:t>
            </w:r>
          </w:p>
        </w:tc>
      </w:tr>
      <w:tr>
        <w:tc>
          <w:tcPr>
            <w:tcW w:type="dxa" w:w="5083"/>
            <w:vAlign w:val="top"/>
          </w:tcPr>
          <w:p>
            <w:r>
              <w:rPr>
                <w:sz w:val="15"/>
              </w:rPr>
              <w:t>BENCH_MUJ</w:t>
            </w:r>
          </w:p>
        </w:tc>
        <w:tc>
          <w:tcPr>
            <w:tcW w:type="dxa" w:w="5083"/>
            <w:vAlign w:val="top"/>
          </w:tcPr>
          <w:p>
            <w:r>
              <w:rPr>
                <w:sz w:val="15"/>
              </w:rPr>
              <w:t>0.0</w:t>
            </w:r>
          </w:p>
        </w:tc>
      </w:tr>
      <w:tr>
        <w:tc>
          <w:tcPr>
            <w:tcW w:type="dxa" w:w="5083"/>
            <w:vAlign w:val="top"/>
          </w:tcPr>
          <w:p>
            <w:r>
              <w:rPr>
                <w:sz w:val="15"/>
              </w:rPr>
              <w:t>BENCH_SIGMAJ</w:t>
            </w:r>
          </w:p>
        </w:tc>
        <w:tc>
          <w:tcPr>
            <w:tcW w:type="dxa" w:w="5083"/>
            <w:vAlign w:val="top"/>
          </w:tcPr>
          <w:p>
            <w:r>
              <w:rPr>
                <w:sz w:val="15"/>
              </w:rPr>
              <w:t>0.1</w:t>
            </w:r>
          </w:p>
        </w:tc>
      </w:tr>
      <w:tr>
        <w:tc>
          <w:tcPr>
            <w:tcW w:type="dxa" w:w="5083"/>
            <w:vAlign w:val="top"/>
          </w:tcPr>
          <w:p>
            <w:r>
              <w:rPr>
                <w:sz w:val="15"/>
              </w:rPr>
              <w:t>BENCH_MAX_CASES</w:t>
            </w:r>
          </w:p>
        </w:tc>
        <w:tc>
          <w:tcPr>
            <w:tcW w:type="dxa" w:w="5083"/>
            <w:vAlign w:val="top"/>
          </w:tcPr>
          <w:p>
            <w:r>
              <w:rPr>
                <w:sz w:val="15"/>
              </w:rPr>
              <w:t>0 = all 168 cases</w:t>
            </w:r>
          </w:p>
        </w:tc>
      </w:tr>
    </w:tbl>
    <w:p>
      <w:pPr>
        <w:pStyle w:val="Heading2"/>
      </w:pPr>
      <w:r>
        <w:t>Run the benchmark</w:t>
      </w:r>
    </w:p>
    <w:p>
      <w:pPr>
        <w:spacing w:after="60"/>
        <w:ind w:left="216" w:right="72"/>
        <w:shd w:fill="F3F4F6"/>
      </w:pPr>
      <w:r>
        <w:rPr>
          <w:rFonts w:ascii="Consolas" w:hAnsi="Consolas" w:eastAsia="Consolas"/>
          <w:sz w:val="16"/>
        </w:rPr>
        <w:t>python -m pytest -q -v "BenchmarkBarrierJumps_API_ONLY_FLAT(1).py"</w:t>
      </w:r>
    </w:p>
    <w:p>
      <w:r>
        <w:br w:type="page"/>
      </w:r>
    </w:p>
    <w:p>
      <w:pPr>
        <w:pStyle w:val="Heading1"/>
      </w:pPr>
      <w:r>
        <w:t>Chapter 56. Broadie-Glasserman-Kou Discrete Barrier Table 2.1</w:t>
      </w:r>
    </w:p>
    <w:p>
      <w:r>
        <w:t>This chapter reproduces the full 15-row BGK down-and-out call table and verifies down-in/down-out parity against the corresponding vanilla call.</w:t>
      </w:r>
    </w:p>
    <w:p>
      <w:pPr>
        <w:pStyle w:val="Heading2"/>
      </w:pPr>
      <w:r>
        <w:t>What this tutorial teaches</w:t>
      </w:r>
    </w:p>
    <w:p>
      <w:pPr>
        <w:pStyle w:val="ListBullet"/>
      </w:pPr>
      <w:r>
        <w:t>Use discrete monitoring through M time steps.</w:t>
      </w:r>
    </w:p>
    <w:p>
      <w:pPr>
        <w:pStyle w:val="ListBullet"/>
      </w:pPr>
      <w:r>
        <w:t>Price down-and-out and down-and-in calls with identical paths and market parameters.</w:t>
      </w:r>
    </w:p>
    <w:p>
      <w:pPr>
        <w:pStyle w:val="ListBullet"/>
      </w:pPr>
      <w:r>
        <w:t>Compare down-and-out prices with the published BGK references for barriers 85 through 99.</w:t>
      </w:r>
    </w:p>
    <w:p>
      <w:pPr>
        <w:pStyle w:val="ListBullet"/>
      </w:pPr>
      <w:r>
        <w:t>Check out + in = vanilla within the combined Monte Carlo error.</w:t>
      </w:r>
    </w:p>
    <w:p>
      <w:pPr>
        <w:pStyle w:val="Heading2"/>
      </w:pPr>
      <w:r>
        <w:t>BGK reference grid</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Barrier</w:t>
            </w:r>
          </w:p>
        </w:tc>
        <w:tc>
          <w:tcPr>
            <w:tcW w:type="dxa" w:w="5083"/>
            <w:shd w:fill="D9EAF7"/>
            <w:vAlign w:val="center"/>
          </w:tcPr>
          <w:p>
            <w:r>
              <w:rPr>
                <w:b/>
                <w:sz w:val="16"/>
              </w:rPr>
              <w:t>Down-and-out call</w:t>
            </w:r>
          </w:p>
        </w:tc>
      </w:tr>
      <w:tr>
        <w:tc>
          <w:tcPr>
            <w:tcW w:type="dxa" w:w="5083"/>
            <w:vAlign w:val="top"/>
          </w:tcPr>
          <w:p>
            <w:r>
              <w:rPr>
                <w:sz w:val="15"/>
              </w:rPr>
              <w:t>85</w:t>
            </w:r>
          </w:p>
        </w:tc>
        <w:tc>
          <w:tcPr>
            <w:tcW w:type="dxa" w:w="5083"/>
            <w:vAlign w:val="top"/>
          </w:tcPr>
          <w:p>
            <w:r>
              <w:rPr>
                <w:sz w:val="15"/>
              </w:rPr>
              <w:t>6.322</w:t>
            </w:r>
          </w:p>
        </w:tc>
      </w:tr>
      <w:tr>
        <w:tc>
          <w:tcPr>
            <w:tcW w:type="dxa" w:w="5083"/>
            <w:vAlign w:val="top"/>
          </w:tcPr>
          <w:p>
            <w:r>
              <w:rPr>
                <w:sz w:val="15"/>
              </w:rPr>
              <w:t>86</w:t>
            </w:r>
          </w:p>
        </w:tc>
        <w:tc>
          <w:tcPr>
            <w:tcW w:type="dxa" w:w="5083"/>
            <w:vAlign w:val="top"/>
          </w:tcPr>
          <w:p>
            <w:r>
              <w:rPr>
                <w:sz w:val="15"/>
              </w:rPr>
              <w:t>6.306</w:t>
            </w:r>
          </w:p>
        </w:tc>
      </w:tr>
      <w:tr>
        <w:tc>
          <w:tcPr>
            <w:tcW w:type="dxa" w:w="5083"/>
            <w:vAlign w:val="top"/>
          </w:tcPr>
          <w:p>
            <w:r>
              <w:rPr>
                <w:sz w:val="15"/>
              </w:rPr>
              <w:t>87</w:t>
            </w:r>
          </w:p>
        </w:tc>
        <w:tc>
          <w:tcPr>
            <w:tcW w:type="dxa" w:w="5083"/>
            <w:vAlign w:val="top"/>
          </w:tcPr>
          <w:p>
            <w:r>
              <w:rPr>
                <w:sz w:val="15"/>
              </w:rPr>
              <w:t>6.281</w:t>
            </w:r>
          </w:p>
        </w:tc>
      </w:tr>
      <w:tr>
        <w:tc>
          <w:tcPr>
            <w:tcW w:type="dxa" w:w="5083"/>
            <w:vAlign w:val="top"/>
          </w:tcPr>
          <w:p>
            <w:r>
              <w:rPr>
                <w:sz w:val="15"/>
              </w:rPr>
              <w:t>88</w:t>
            </w:r>
          </w:p>
        </w:tc>
        <w:tc>
          <w:tcPr>
            <w:tcW w:type="dxa" w:w="5083"/>
            <w:vAlign w:val="top"/>
          </w:tcPr>
          <w:p>
            <w:r>
              <w:rPr>
                <w:sz w:val="15"/>
              </w:rPr>
              <w:t>6.242</w:t>
            </w:r>
          </w:p>
        </w:tc>
      </w:tr>
      <w:tr>
        <w:tc>
          <w:tcPr>
            <w:tcW w:type="dxa" w:w="5083"/>
            <w:vAlign w:val="top"/>
          </w:tcPr>
          <w:p>
            <w:r>
              <w:rPr>
                <w:sz w:val="15"/>
              </w:rPr>
              <w:t>89</w:t>
            </w:r>
          </w:p>
        </w:tc>
        <w:tc>
          <w:tcPr>
            <w:tcW w:type="dxa" w:w="5083"/>
            <w:vAlign w:val="top"/>
          </w:tcPr>
          <w:p>
            <w:r>
              <w:rPr>
                <w:sz w:val="15"/>
              </w:rPr>
              <w:t>6.184</w:t>
            </w:r>
          </w:p>
        </w:tc>
      </w:tr>
      <w:tr>
        <w:tc>
          <w:tcPr>
            <w:tcW w:type="dxa" w:w="5083"/>
            <w:vAlign w:val="top"/>
          </w:tcPr>
          <w:p>
            <w:r>
              <w:rPr>
                <w:sz w:val="15"/>
              </w:rPr>
              <w:t>90</w:t>
            </w:r>
          </w:p>
        </w:tc>
        <w:tc>
          <w:tcPr>
            <w:tcW w:type="dxa" w:w="5083"/>
            <w:vAlign w:val="top"/>
          </w:tcPr>
          <w:p>
            <w:r>
              <w:rPr>
                <w:sz w:val="15"/>
              </w:rPr>
              <w:t>6.098</w:t>
            </w:r>
          </w:p>
        </w:tc>
      </w:tr>
      <w:tr>
        <w:tc>
          <w:tcPr>
            <w:tcW w:type="dxa" w:w="5083"/>
            <w:vAlign w:val="top"/>
          </w:tcPr>
          <w:p>
            <w:r>
              <w:rPr>
                <w:sz w:val="15"/>
              </w:rPr>
              <w:t>91</w:t>
            </w:r>
          </w:p>
        </w:tc>
        <w:tc>
          <w:tcPr>
            <w:tcW w:type="dxa" w:w="5083"/>
            <w:vAlign w:val="top"/>
          </w:tcPr>
          <w:p>
            <w:r>
              <w:rPr>
                <w:sz w:val="15"/>
              </w:rPr>
              <w:t>5.977</w:t>
            </w:r>
          </w:p>
        </w:tc>
      </w:tr>
      <w:tr>
        <w:tc>
          <w:tcPr>
            <w:tcW w:type="dxa" w:w="5083"/>
            <w:vAlign w:val="top"/>
          </w:tcPr>
          <w:p>
            <w:r>
              <w:rPr>
                <w:sz w:val="15"/>
              </w:rPr>
              <w:t>92</w:t>
            </w:r>
          </w:p>
        </w:tc>
        <w:tc>
          <w:tcPr>
            <w:tcW w:type="dxa" w:w="5083"/>
            <w:vAlign w:val="top"/>
          </w:tcPr>
          <w:p>
            <w:r>
              <w:rPr>
                <w:sz w:val="15"/>
              </w:rPr>
              <w:t>5.81</w:t>
            </w:r>
          </w:p>
        </w:tc>
      </w:tr>
      <w:tr>
        <w:tc>
          <w:tcPr>
            <w:tcW w:type="dxa" w:w="5083"/>
            <w:vAlign w:val="top"/>
          </w:tcPr>
          <w:p>
            <w:r>
              <w:rPr>
                <w:sz w:val="15"/>
              </w:rPr>
              <w:t>93</w:t>
            </w:r>
          </w:p>
        </w:tc>
        <w:tc>
          <w:tcPr>
            <w:tcW w:type="dxa" w:w="5083"/>
            <w:vAlign w:val="top"/>
          </w:tcPr>
          <w:p>
            <w:r>
              <w:rPr>
                <w:sz w:val="15"/>
              </w:rPr>
              <w:t>5.584</w:t>
            </w:r>
          </w:p>
        </w:tc>
      </w:tr>
      <w:tr>
        <w:tc>
          <w:tcPr>
            <w:tcW w:type="dxa" w:w="5083"/>
            <w:vAlign w:val="top"/>
          </w:tcPr>
          <w:p>
            <w:r>
              <w:rPr>
                <w:sz w:val="15"/>
              </w:rPr>
              <w:t>94</w:t>
            </w:r>
          </w:p>
        </w:tc>
        <w:tc>
          <w:tcPr>
            <w:tcW w:type="dxa" w:w="5083"/>
            <w:vAlign w:val="top"/>
          </w:tcPr>
          <w:p>
            <w:r>
              <w:rPr>
                <w:sz w:val="15"/>
              </w:rPr>
              <w:t>5.288</w:t>
            </w:r>
          </w:p>
        </w:tc>
      </w:tr>
      <w:tr>
        <w:tc>
          <w:tcPr>
            <w:tcW w:type="dxa" w:w="5083"/>
            <w:vAlign w:val="top"/>
          </w:tcPr>
          <w:p>
            <w:r>
              <w:rPr>
                <w:sz w:val="15"/>
              </w:rPr>
              <w:t>95</w:t>
            </w:r>
          </w:p>
        </w:tc>
        <w:tc>
          <w:tcPr>
            <w:tcW w:type="dxa" w:w="5083"/>
            <w:vAlign w:val="top"/>
          </w:tcPr>
          <w:p>
            <w:r>
              <w:rPr>
                <w:sz w:val="15"/>
              </w:rPr>
              <w:t>4.907</w:t>
            </w:r>
          </w:p>
        </w:tc>
      </w:tr>
      <w:tr>
        <w:tc>
          <w:tcPr>
            <w:tcW w:type="dxa" w:w="5083"/>
            <w:vAlign w:val="top"/>
          </w:tcPr>
          <w:p>
            <w:r>
              <w:rPr>
                <w:sz w:val="15"/>
              </w:rPr>
              <w:t>96</w:t>
            </w:r>
          </w:p>
        </w:tc>
        <w:tc>
          <w:tcPr>
            <w:tcW w:type="dxa" w:w="5083"/>
            <w:vAlign w:val="top"/>
          </w:tcPr>
          <w:p>
            <w:r>
              <w:rPr>
                <w:sz w:val="15"/>
              </w:rPr>
              <w:t>4.427</w:t>
            </w:r>
          </w:p>
        </w:tc>
      </w:tr>
      <w:tr>
        <w:tc>
          <w:tcPr>
            <w:tcW w:type="dxa" w:w="5083"/>
            <w:vAlign w:val="top"/>
          </w:tcPr>
          <w:p>
            <w:r>
              <w:rPr>
                <w:sz w:val="15"/>
              </w:rPr>
              <w:t>97</w:t>
            </w:r>
          </w:p>
        </w:tc>
        <w:tc>
          <w:tcPr>
            <w:tcW w:type="dxa" w:w="5083"/>
            <w:vAlign w:val="top"/>
          </w:tcPr>
          <w:p>
            <w:r>
              <w:rPr>
                <w:sz w:val="15"/>
              </w:rPr>
              <w:t>3.834</w:t>
            </w:r>
          </w:p>
        </w:tc>
      </w:tr>
      <w:tr>
        <w:tc>
          <w:tcPr>
            <w:tcW w:type="dxa" w:w="5083"/>
            <w:vAlign w:val="top"/>
          </w:tcPr>
          <w:p>
            <w:r>
              <w:rPr>
                <w:sz w:val="15"/>
              </w:rPr>
              <w:t>98</w:t>
            </w:r>
          </w:p>
        </w:tc>
        <w:tc>
          <w:tcPr>
            <w:tcW w:type="dxa" w:w="5083"/>
            <w:vAlign w:val="top"/>
          </w:tcPr>
          <w:p>
            <w:r>
              <w:rPr>
                <w:sz w:val="15"/>
              </w:rPr>
              <w:t>3.126</w:t>
            </w:r>
          </w:p>
        </w:tc>
      </w:tr>
      <w:tr>
        <w:tc>
          <w:tcPr>
            <w:tcW w:type="dxa" w:w="5083"/>
            <w:vAlign w:val="top"/>
          </w:tcPr>
          <w:p>
            <w:r>
              <w:rPr>
                <w:sz w:val="15"/>
              </w:rPr>
              <w:t>99</w:t>
            </w:r>
          </w:p>
        </w:tc>
        <w:tc>
          <w:tcPr>
            <w:tcW w:type="dxa" w:w="5083"/>
            <w:vAlign w:val="top"/>
          </w:tcPr>
          <w:p>
            <w:r>
              <w:rPr>
                <w:sz w:val="15"/>
              </w:rPr>
              <w:t>2.337</w:t>
            </w:r>
          </w:p>
        </w:tc>
      </w:tr>
    </w:tbl>
    <w:p>
      <w:pPr>
        <w:pStyle w:val="Heading2"/>
      </w:pPr>
      <w:r>
        <w:t>Core flat API pattern</w:t>
      </w:r>
    </w:p>
    <w:p>
      <w:pPr>
        <w:spacing w:after="60"/>
        <w:ind w:left="216" w:right="72"/>
        <w:shd w:fill="F3F4F6"/>
      </w:pPr>
      <w:r>
        <w:rPr>
          <w:rFonts w:ascii="Consolas" w:hAnsi="Consolas" w:eastAsia="Consolas"/>
          <w:sz w:val="15"/>
        </w:rPr>
        <w:t>down_out = price(</w:t>
        <w:br/>
        <w:t xml:space="preserve">    "European", "Call",</w:t>
        <w:br/>
        <w:t xml:space="preserve">    underlying="PathIndependentOption",</w:t>
        <w:br/>
        <w:t xml:space="preserve">    wrapper_order="Barrier on underlying",</w:t>
        <w:br/>
        <w:t xml:space="preserve">    barrier="DownAndOutBarrier",</w:t>
        <w:br/>
        <w:t xml:space="preserve">    up_barrier=1.0e12,</w:t>
        <w:br/>
        <w:t xml:space="preserve">    down_barrier=95.0,</w:t>
        <w:br/>
        <w:t xml:space="preserve">    rebate_in=1.0, rebate_out=0.0,</w:t>
        <w:br/>
        <w:t xml:space="preserve">    S0=100, K=100, r=0.10, sigma=0.30, y=0, T=0.20,</w:t>
        <w:br/>
        <w:t xml:space="preserve">    M=50, N=200000, seed=0</w:t>
        <w:br/>
        <w:t>)</w:t>
      </w:r>
    </w:p>
    <w:p>
      <w:pPr>
        <w:pStyle w:val="Heading2"/>
      </w:pPr>
      <w:r>
        <w:t>How to validate the result</w:t>
      </w:r>
    </w:p>
    <w:p>
      <w:pPr>
        <w:pStyle w:val="ListBullet"/>
      </w:pPr>
      <w:r>
        <w:t>For each barrier H, require |API - BGK| &lt;= TOL_SE * API standard error.</w:t>
      </w:r>
    </w:p>
    <w:p>
      <w:pPr>
        <w:pStyle w:val="ListBullet"/>
      </w:pPr>
      <w:r>
        <w:t>For parity, use TOL_SE * sqrt(se_out^2 + se_in^2 + se_vanilla^2).</w:t>
      </w:r>
    </w:p>
    <w:p>
      <w:pPr>
        <w:pStyle w:val="ListBullet"/>
      </w:pPr>
      <w:r>
        <w:t>Reuse the same seed for all three legs.</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BENCH_N_STEPS</w:t>
            </w:r>
          </w:p>
        </w:tc>
        <w:tc>
          <w:tcPr>
            <w:tcW w:type="dxa" w:w="5083"/>
            <w:vAlign w:val="top"/>
          </w:tcPr>
          <w:p>
            <w:r>
              <w:rPr>
                <w:sz w:val="15"/>
              </w:rPr>
              <w:t>50</w:t>
            </w:r>
          </w:p>
        </w:tc>
      </w:tr>
      <w:tr>
        <w:tc>
          <w:tcPr>
            <w:tcW w:type="dxa" w:w="5083"/>
            <w:vAlign w:val="top"/>
          </w:tcPr>
          <w:p>
            <w:r>
              <w:rPr>
                <w:sz w:val="15"/>
              </w:rPr>
              <w:t>BENCH_N_PATHS</w:t>
            </w:r>
          </w:p>
        </w:tc>
        <w:tc>
          <w:tcPr>
            <w:tcW w:type="dxa" w:w="5083"/>
            <w:vAlign w:val="top"/>
          </w:tcPr>
          <w:p>
            <w:r>
              <w:rPr>
                <w:sz w:val="15"/>
              </w:rPr>
              <w:t>200000</w:t>
            </w:r>
          </w:p>
        </w:tc>
      </w:tr>
      <w:tr>
        <w:tc>
          <w:tcPr>
            <w:tcW w:type="dxa" w:w="5083"/>
            <w:vAlign w:val="top"/>
          </w:tcPr>
          <w:p>
            <w:r>
              <w:rPr>
                <w:sz w:val="15"/>
              </w:rPr>
              <w:t>BENCH_SEED</w:t>
            </w:r>
          </w:p>
        </w:tc>
        <w:tc>
          <w:tcPr>
            <w:tcW w:type="dxa" w:w="5083"/>
            <w:vAlign w:val="top"/>
          </w:tcPr>
          <w:p>
            <w:r>
              <w:rPr>
                <w:sz w:val="15"/>
              </w:rPr>
              <w:t>0</w:t>
            </w:r>
          </w:p>
        </w:tc>
      </w:tr>
      <w:tr>
        <w:tc>
          <w:tcPr>
            <w:tcW w:type="dxa" w:w="5083"/>
            <w:vAlign w:val="top"/>
          </w:tcPr>
          <w:p>
            <w:r>
              <w:rPr>
                <w:sz w:val="15"/>
              </w:rPr>
              <w:t>BENCH_TOL_SE</w:t>
            </w:r>
          </w:p>
        </w:tc>
        <w:tc>
          <w:tcPr>
            <w:tcW w:type="dxa" w:w="5083"/>
            <w:vAlign w:val="top"/>
          </w:tcPr>
          <w:p>
            <w:r>
              <w:rPr>
                <w:sz w:val="15"/>
              </w:rPr>
              <w:t>4.0</w:t>
            </w:r>
          </w:p>
        </w:tc>
      </w:tr>
    </w:tbl>
    <w:p>
      <w:pPr>
        <w:pStyle w:val="Heading2"/>
      </w:pPr>
      <w:r>
        <w:t>Run the benchmark</w:t>
      </w:r>
    </w:p>
    <w:p>
      <w:pPr>
        <w:spacing w:after="60"/>
        <w:ind w:left="216" w:right="72"/>
        <w:shd w:fill="F3F4F6"/>
      </w:pPr>
      <w:r>
        <w:rPr>
          <w:rFonts w:ascii="Consolas" w:hAnsi="Consolas" w:eastAsia="Consolas"/>
          <w:sz w:val="16"/>
        </w:rPr>
        <w:t>python -m pytest -q -v "BenchmarkEuropeanBarrierBGK_API_ONLY_FLAT(1).py"</w:t>
      </w:r>
    </w:p>
    <w:p>
      <w:r>
        <w:br w:type="page"/>
      </w:r>
    </w:p>
    <w:p>
      <w:pPr>
        <w:pStyle w:val="Heading1"/>
      </w:pPr>
      <w:r>
        <w:t>Chapter 57. Merton Jump-Diffusion: Put-Call Parity and Zero-Jump Limit</w:t>
      </w:r>
    </w:p>
    <w:p>
      <w:r>
        <w:t>This chapter teaches the flat API configuration for Merton stock jumps and validates both put-call parity and the diffusion limit.</w:t>
      </w:r>
    </w:p>
    <w:p>
      <w:pPr>
        <w:pStyle w:val="Heading2"/>
      </w:pPr>
      <w:r>
        <w:t>What this tutorial teaches</w:t>
      </w:r>
    </w:p>
    <w:p>
      <w:pPr>
        <w:pStyle w:val="ListBullet"/>
      </w:pPr>
      <w:r>
        <w:t>Use muJ, sigmaJ and Lambda for stock jump parameters.</w:t>
      </w:r>
    </w:p>
    <w:p>
      <w:pPr>
        <w:pStyle w:val="ListBullet"/>
      </w:pPr>
      <w:r>
        <w:t>Activate jumps only when jump intensity is positive.</w:t>
      </w:r>
    </w:p>
    <w:p>
      <w:pPr>
        <w:pStyle w:val="ListBullet"/>
      </w:pPr>
      <w:r>
        <w:t>Run a strike grid at 90, 100 and 110 and five jump configurations.</w:t>
      </w:r>
    </w:p>
    <w:p>
      <w:pPr>
        <w:pStyle w:val="ListBullet"/>
      </w:pPr>
      <w:r>
        <w:t>Confirm that zero jump intensity produces the plain diffusion price.</w:t>
      </w:r>
    </w:p>
    <w:p>
      <w:pPr>
        <w:pStyle w:val="Heading2"/>
      </w:pPr>
      <w:r>
        <w:t>Jump configurations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D9EAF7"/>
            <w:vAlign w:val="center"/>
          </w:tcPr>
          <w:p>
            <w:r>
              <w:rPr>
                <w:b/>
                <w:sz w:val="16"/>
              </w:rPr>
              <w:t>Lambda</w:t>
            </w:r>
          </w:p>
        </w:tc>
        <w:tc>
          <w:tcPr>
            <w:tcW w:type="dxa" w:w="3389"/>
            <w:shd w:fill="D9EAF7"/>
            <w:vAlign w:val="center"/>
          </w:tcPr>
          <w:p>
            <w:r>
              <w:rPr>
                <w:b/>
                <w:sz w:val="16"/>
              </w:rPr>
              <w:t>muJ</w:t>
            </w:r>
          </w:p>
        </w:tc>
        <w:tc>
          <w:tcPr>
            <w:tcW w:type="dxa" w:w="3389"/>
            <w:shd w:fill="D9EAF7"/>
            <w:vAlign w:val="center"/>
          </w:tcPr>
          <w:p>
            <w:r>
              <w:rPr>
                <w:b/>
                <w:sz w:val="16"/>
              </w:rPr>
              <w:t>sigmaJ</w:t>
            </w:r>
          </w:p>
        </w:tc>
      </w:tr>
      <w:tr>
        <w:tc>
          <w:tcPr>
            <w:tcW w:type="dxa" w:w="3389"/>
            <w:vAlign w:val="top"/>
          </w:tcPr>
          <w:p>
            <w:r>
              <w:rPr>
                <w:sz w:val="15"/>
              </w:rPr>
              <w:t>0.0</w:t>
            </w:r>
          </w:p>
        </w:tc>
        <w:tc>
          <w:tcPr>
            <w:tcW w:type="dxa" w:w="3389"/>
            <w:vAlign w:val="top"/>
          </w:tcPr>
          <w:p>
            <w:r>
              <w:rPr>
                <w:sz w:val="15"/>
              </w:rPr>
              <w:t>0.0</w:t>
            </w:r>
          </w:p>
        </w:tc>
        <w:tc>
          <w:tcPr>
            <w:tcW w:type="dxa" w:w="3389"/>
            <w:vAlign w:val="top"/>
          </w:tcPr>
          <w:p>
            <w:r>
              <w:rPr>
                <w:sz w:val="15"/>
              </w:rPr>
              <w:t>0.15</w:t>
            </w:r>
          </w:p>
        </w:tc>
      </w:tr>
      <w:tr>
        <w:tc>
          <w:tcPr>
            <w:tcW w:type="dxa" w:w="3389"/>
            <w:vAlign w:val="top"/>
          </w:tcPr>
          <w:p>
            <w:r>
              <w:rPr>
                <w:sz w:val="15"/>
              </w:rPr>
              <w:t>0.3</w:t>
            </w:r>
          </w:p>
        </w:tc>
        <w:tc>
          <w:tcPr>
            <w:tcW w:type="dxa" w:w="3389"/>
            <w:vAlign w:val="top"/>
          </w:tcPr>
          <w:p>
            <w:r>
              <w:rPr>
                <w:sz w:val="15"/>
              </w:rPr>
              <w:t>0.0</w:t>
            </w:r>
          </w:p>
        </w:tc>
        <w:tc>
          <w:tcPr>
            <w:tcW w:type="dxa" w:w="3389"/>
            <w:vAlign w:val="top"/>
          </w:tcPr>
          <w:p>
            <w:r>
              <w:rPr>
                <w:sz w:val="15"/>
              </w:rPr>
              <w:t>0.15</w:t>
            </w:r>
          </w:p>
        </w:tc>
      </w:tr>
      <w:tr>
        <w:tc>
          <w:tcPr>
            <w:tcW w:type="dxa" w:w="3389"/>
            <w:vAlign w:val="top"/>
          </w:tcPr>
          <w:p>
            <w:r>
              <w:rPr>
                <w:sz w:val="15"/>
              </w:rPr>
              <w:t>1.0</w:t>
            </w:r>
          </w:p>
        </w:tc>
        <w:tc>
          <w:tcPr>
            <w:tcW w:type="dxa" w:w="3389"/>
            <w:vAlign w:val="top"/>
          </w:tcPr>
          <w:p>
            <w:r>
              <w:rPr>
                <w:sz w:val="15"/>
              </w:rPr>
              <w:t>0.0</w:t>
            </w:r>
          </w:p>
        </w:tc>
        <w:tc>
          <w:tcPr>
            <w:tcW w:type="dxa" w:w="3389"/>
            <w:vAlign w:val="top"/>
          </w:tcPr>
          <w:p>
            <w:r>
              <w:rPr>
                <w:sz w:val="15"/>
              </w:rPr>
              <w:t>0.25</w:t>
            </w:r>
          </w:p>
        </w:tc>
      </w:tr>
      <w:tr>
        <w:tc>
          <w:tcPr>
            <w:tcW w:type="dxa" w:w="3389"/>
            <w:vAlign w:val="top"/>
          </w:tcPr>
          <w:p>
            <w:r>
              <w:rPr>
                <w:sz w:val="15"/>
              </w:rPr>
              <w:t>0.3</w:t>
            </w:r>
          </w:p>
        </w:tc>
        <w:tc>
          <w:tcPr>
            <w:tcW w:type="dxa" w:w="3389"/>
            <w:vAlign w:val="top"/>
          </w:tcPr>
          <w:p>
            <w:r>
              <w:rPr>
                <w:sz w:val="15"/>
              </w:rPr>
              <w:t>-0.1</w:t>
            </w:r>
          </w:p>
        </w:tc>
        <w:tc>
          <w:tcPr>
            <w:tcW w:type="dxa" w:w="3389"/>
            <w:vAlign w:val="top"/>
          </w:tcPr>
          <w:p>
            <w:r>
              <w:rPr>
                <w:sz w:val="15"/>
              </w:rPr>
              <w:t>0.15</w:t>
            </w:r>
          </w:p>
        </w:tc>
      </w:tr>
      <w:tr>
        <w:tc>
          <w:tcPr>
            <w:tcW w:type="dxa" w:w="3389"/>
            <w:vAlign w:val="top"/>
          </w:tcPr>
          <w:p>
            <w:r>
              <w:rPr>
                <w:sz w:val="15"/>
              </w:rPr>
              <w:t>1.0</w:t>
            </w:r>
          </w:p>
        </w:tc>
        <w:tc>
          <w:tcPr>
            <w:tcW w:type="dxa" w:w="3389"/>
            <w:vAlign w:val="top"/>
          </w:tcPr>
          <w:p>
            <w:r>
              <w:rPr>
                <w:sz w:val="15"/>
              </w:rPr>
              <w:t>0.05</w:t>
            </w:r>
          </w:p>
        </w:tc>
        <w:tc>
          <w:tcPr>
            <w:tcW w:type="dxa" w:w="3389"/>
            <w:vAlign w:val="top"/>
          </w:tcPr>
          <w:p>
            <w:r>
              <w:rPr>
                <w:sz w:val="15"/>
              </w:rPr>
              <w:t>0.2</w:t>
            </w:r>
          </w:p>
        </w:tc>
      </w:tr>
    </w:tbl>
    <w:p>
      <w:pPr>
        <w:pStyle w:val="Heading2"/>
      </w:pPr>
      <w:r>
        <w:t>Strikes</w:t>
      </w:r>
    </w:p>
    <w:tbl>
      <w:tblPr>
        <w:tblStyle w:val="TableGrid"/>
        <w:tblW w:type="auto" w:w="0"/>
        <w:jc w:val="center"/>
        <w:tblLook w:firstColumn="1" w:firstRow="1" w:lastColumn="0" w:lastRow="0" w:noHBand="0" w:noVBand="1" w:val="04A0"/>
      </w:tblPr>
      <w:tblGrid>
        <w:gridCol w:w="10166"/>
      </w:tblGrid>
      <w:tr>
        <w:trPr>
          <w:tblHeader w:val="true"/>
        </w:trPr>
        <w:tc>
          <w:tcPr>
            <w:tcW w:type="dxa" w:w="10166"/>
            <w:shd w:fill="D9EAF7"/>
            <w:vAlign w:val="center"/>
          </w:tcPr>
          <w:p>
            <w:r>
              <w:rPr>
                <w:b/>
                <w:sz w:val="16"/>
              </w:rPr>
              <w:t>K</w:t>
            </w:r>
          </w:p>
        </w:tc>
      </w:tr>
      <w:tr>
        <w:tc>
          <w:tcPr>
            <w:tcW w:type="dxa" w:w="10166"/>
            <w:vAlign w:val="top"/>
          </w:tcPr>
          <w:p>
            <w:r>
              <w:rPr>
                <w:sz w:val="15"/>
              </w:rPr>
              <w:t>90</w:t>
            </w:r>
          </w:p>
        </w:tc>
      </w:tr>
      <w:tr>
        <w:tc>
          <w:tcPr>
            <w:tcW w:type="dxa" w:w="10166"/>
            <w:vAlign w:val="top"/>
          </w:tcPr>
          <w:p>
            <w:r>
              <w:rPr>
                <w:sz w:val="15"/>
              </w:rPr>
              <w:t>100</w:t>
            </w:r>
          </w:p>
        </w:tc>
      </w:tr>
      <w:tr>
        <w:tc>
          <w:tcPr>
            <w:tcW w:type="dxa" w:w="10166"/>
            <w:vAlign w:val="top"/>
          </w:tcPr>
          <w:p>
            <w:r>
              <w:rPr>
                <w:sz w:val="15"/>
              </w:rPr>
              <w:t>110</w:t>
            </w:r>
          </w:p>
        </w:tc>
      </w:tr>
    </w:tbl>
    <w:p>
      <w:pPr>
        <w:pStyle w:val="Heading2"/>
      </w:pPr>
      <w:r>
        <w:t>Core flat API pattern</w:t>
      </w:r>
    </w:p>
    <w:p>
      <w:pPr>
        <w:spacing w:after="60"/>
        <w:ind w:left="216" w:right="72"/>
        <w:shd w:fill="F3F4F6"/>
      </w:pPr>
      <w:r>
        <w:rPr>
          <w:rFonts w:ascii="Consolas" w:hAnsi="Consolas" w:eastAsia="Consolas"/>
          <w:sz w:val="15"/>
        </w:rPr>
        <w:t>call = price(</w:t>
        <w:br/>
        <w:t xml:space="preserve">    "European", "Call",</w:t>
        <w:br/>
        <w:t xml:space="preserve">    underlying="PathIndependentOption",</w:t>
        <w:br/>
        <w:t xml:space="preserve">    wrapper_order="Underlying only",</w:t>
        <w:br/>
        <w:t xml:space="preserve">    S0=100, K=100, r=0.05, sigma=0.20, y=0, T=1,</w:t>
        <w:br/>
        <w:t xml:space="preserve">    M=100, N=400000, seed=0,</w:t>
        <w:br/>
        <w:t xml:space="preserve">    jumps=True, muJ=0.05, sigmaJ=0.20, Lambda=1.0,</w:t>
        <w:br/>
        <w:t xml:space="preserve">    rate_model="Constant", volatility_model="Constant",</w:t>
        <w:br/>
        <w:t xml:space="preserve">    dividend_model="Constant", sentiment_model="Constant",</w:t>
        <w:br/>
        <w:t xml:space="preserve">    sentiment_vol_model="Constant"</w:t>
        <w:br/>
        <w:t>)</w:t>
      </w:r>
    </w:p>
    <w:p>
      <w:pPr>
        <w:pStyle w:val="Heading2"/>
      </w:pPr>
      <w:r>
        <w:t>How to validate the result</w:t>
      </w:r>
    </w:p>
    <w:p>
      <w:pPr>
        <w:pStyle w:val="ListBullet"/>
      </w:pPr>
      <w:r>
        <w:t>Put-call parity target remains S0 exp(-yT) - K exp(-rT) under the risk-neutral jump specification.</w:t>
      </w:r>
    </w:p>
    <w:p>
      <w:pPr>
        <w:pStyle w:val="ListBullet"/>
      </w:pPr>
      <w:r>
        <w:t>Use the combined call/put standard error for parity tolerance.</w:t>
      </w:r>
    </w:p>
    <w:p>
      <w:pPr>
        <w:pStyle w:val="ListBullet"/>
      </w:pPr>
      <w:r>
        <w:t>At Lambda=0, compare a jump-parameterized request with the plain diffusion request.</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BENCH_N_PATHS</w:t>
            </w:r>
          </w:p>
        </w:tc>
        <w:tc>
          <w:tcPr>
            <w:tcW w:type="dxa" w:w="5083"/>
            <w:vAlign w:val="top"/>
          </w:tcPr>
          <w:p>
            <w:r>
              <w:rPr>
                <w:sz w:val="15"/>
              </w:rPr>
              <w:t>400000</w:t>
            </w:r>
          </w:p>
        </w:tc>
      </w:tr>
      <w:tr>
        <w:tc>
          <w:tcPr>
            <w:tcW w:type="dxa" w:w="5083"/>
            <w:vAlign w:val="top"/>
          </w:tcPr>
          <w:p>
            <w:r>
              <w:rPr>
                <w:sz w:val="15"/>
              </w:rPr>
              <w:t>BENCH_N_STEPS</w:t>
            </w:r>
          </w:p>
        </w:tc>
        <w:tc>
          <w:tcPr>
            <w:tcW w:type="dxa" w:w="5083"/>
            <w:vAlign w:val="top"/>
          </w:tcPr>
          <w:p>
            <w:r>
              <w:rPr>
                <w:sz w:val="15"/>
              </w:rPr>
              <w:t>100</w:t>
            </w:r>
          </w:p>
        </w:tc>
      </w:tr>
      <w:tr>
        <w:tc>
          <w:tcPr>
            <w:tcW w:type="dxa" w:w="5083"/>
            <w:vAlign w:val="top"/>
          </w:tcPr>
          <w:p>
            <w:r>
              <w:rPr>
                <w:sz w:val="15"/>
              </w:rPr>
              <w:t>BENCH_SEED</w:t>
            </w:r>
          </w:p>
        </w:tc>
        <w:tc>
          <w:tcPr>
            <w:tcW w:type="dxa" w:w="5083"/>
            <w:vAlign w:val="top"/>
          </w:tcPr>
          <w:p>
            <w:r>
              <w:rPr>
                <w:sz w:val="15"/>
              </w:rPr>
              <w:t>0</w:t>
            </w:r>
          </w:p>
        </w:tc>
      </w:tr>
      <w:tr>
        <w:tc>
          <w:tcPr>
            <w:tcW w:type="dxa" w:w="5083"/>
            <w:vAlign w:val="top"/>
          </w:tcPr>
          <w:p>
            <w:r>
              <w:rPr>
                <w:sz w:val="15"/>
              </w:rPr>
              <w:t>BENCH_TOL_SE</w:t>
            </w:r>
          </w:p>
        </w:tc>
        <w:tc>
          <w:tcPr>
            <w:tcW w:type="dxa" w:w="5083"/>
            <w:vAlign w:val="top"/>
          </w:tcPr>
          <w:p>
            <w:r>
              <w:rPr>
                <w:sz w:val="15"/>
              </w:rPr>
              <w:t>4.0</w:t>
            </w:r>
          </w:p>
        </w:tc>
      </w:tr>
    </w:tbl>
    <w:p>
      <w:pPr>
        <w:pStyle w:val="Heading2"/>
      </w:pPr>
      <w:r>
        <w:t>Run the benchmark</w:t>
      </w:r>
    </w:p>
    <w:p>
      <w:pPr>
        <w:spacing w:after="60"/>
        <w:ind w:left="216" w:right="72"/>
        <w:shd w:fill="F3F4F6"/>
      </w:pPr>
      <w:r>
        <w:rPr>
          <w:rFonts w:ascii="Consolas" w:hAnsi="Consolas" w:eastAsia="Consolas"/>
          <w:sz w:val="16"/>
        </w:rPr>
        <w:t>python -m pytest -q -v "BenchmarkMertonJumps_API_ONLY_FLAT(1).py"</w:t>
      </w:r>
    </w:p>
    <w:p>
      <w:r>
        <w:br w:type="page"/>
      </w:r>
    </w:p>
    <w:p>
      <w:pPr>
        <w:pStyle w:val="Heading1"/>
      </w:pPr>
      <w:r>
        <w:t>Chapter 58. European Fixed- and Floating-Strike Lookback Tutorial</w:t>
      </w:r>
    </w:p>
    <w:p>
      <w:r>
        <w:t>This chapter covers all four European lookback contracts, floating-strike invariance to K and deterministic same-seed behavior.</w:t>
      </w:r>
    </w:p>
    <w:p>
      <w:pPr>
        <w:pStyle w:val="Heading2"/>
      </w:pPr>
      <w:r>
        <w:t>What this tutorial teaches</w:t>
      </w:r>
    </w:p>
    <w:p>
      <w:pPr>
        <w:pStyle w:val="ListBullet"/>
      </w:pPr>
      <w:r>
        <w:t>Use wrapper_order="Lookback on underlying" for European lookbacks.</w:t>
      </w:r>
    </w:p>
    <w:p>
      <w:pPr>
        <w:pStyle w:val="ListBullet"/>
      </w:pPr>
      <w:r>
        <w:t>Choose LookbacksFixedStrike or LookbacksFloatingStrike.</w:t>
      </w:r>
    </w:p>
    <w:p>
      <w:pPr>
        <w:pStyle w:val="ListBullet"/>
      </w:pPr>
      <w:r>
        <w:t>Run both Call and Put payoffs.</w:t>
      </w:r>
    </w:p>
    <w:p>
      <w:pPr>
        <w:pStyle w:val="ListBullet"/>
      </w:pPr>
      <w:r>
        <w:t>Validate that floating-strike prices are independent of the K input.</w:t>
      </w:r>
    </w:p>
    <w:p>
      <w:pPr>
        <w:pStyle w:val="ListBullet"/>
      </w:pPr>
      <w:r>
        <w:t>Use the same seed to obtain exactly reproducible price and standard error.</w:t>
      </w:r>
    </w:p>
    <w:p>
      <w:pPr>
        <w:pStyle w:val="Heading2"/>
      </w:pPr>
      <w:r>
        <w:t>Lookback contracts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Payoff</w:t>
            </w:r>
          </w:p>
        </w:tc>
        <w:tc>
          <w:tcPr>
            <w:tcW w:type="dxa" w:w="5083"/>
            <w:shd w:fill="D9EAF7"/>
            <w:vAlign w:val="center"/>
          </w:tcPr>
          <w:p>
            <w:r>
              <w:rPr>
                <w:b/>
                <w:sz w:val="16"/>
              </w:rPr>
              <w:t>Lookback class</w:t>
            </w:r>
          </w:p>
        </w:tc>
      </w:tr>
      <w:tr>
        <w:tc>
          <w:tcPr>
            <w:tcW w:type="dxa" w:w="5083"/>
            <w:vAlign w:val="top"/>
          </w:tcPr>
          <w:p>
            <w:r>
              <w:rPr>
                <w:sz w:val="15"/>
              </w:rPr>
              <w:t>Call</w:t>
            </w:r>
          </w:p>
        </w:tc>
        <w:tc>
          <w:tcPr>
            <w:tcW w:type="dxa" w:w="5083"/>
            <w:vAlign w:val="top"/>
          </w:tcPr>
          <w:p>
            <w:r>
              <w:rPr>
                <w:sz w:val="15"/>
              </w:rPr>
              <w:t>LookbacksFloatingStrike</w:t>
            </w:r>
          </w:p>
        </w:tc>
      </w:tr>
      <w:tr>
        <w:tc>
          <w:tcPr>
            <w:tcW w:type="dxa" w:w="5083"/>
            <w:vAlign w:val="top"/>
          </w:tcPr>
          <w:p>
            <w:r>
              <w:rPr>
                <w:sz w:val="15"/>
              </w:rPr>
              <w:t>Put</w:t>
            </w:r>
          </w:p>
        </w:tc>
        <w:tc>
          <w:tcPr>
            <w:tcW w:type="dxa" w:w="5083"/>
            <w:vAlign w:val="top"/>
          </w:tcPr>
          <w:p>
            <w:r>
              <w:rPr>
                <w:sz w:val="15"/>
              </w:rPr>
              <w:t>LookbacksFloatingStrike</w:t>
            </w:r>
          </w:p>
        </w:tc>
      </w:tr>
      <w:tr>
        <w:tc>
          <w:tcPr>
            <w:tcW w:type="dxa" w:w="5083"/>
            <w:vAlign w:val="top"/>
          </w:tcPr>
          <w:p>
            <w:r>
              <w:rPr>
                <w:sz w:val="15"/>
              </w:rPr>
              <w:t>Call</w:t>
            </w:r>
          </w:p>
        </w:tc>
        <w:tc>
          <w:tcPr>
            <w:tcW w:type="dxa" w:w="5083"/>
            <w:vAlign w:val="top"/>
          </w:tcPr>
          <w:p>
            <w:r>
              <w:rPr>
                <w:sz w:val="15"/>
              </w:rPr>
              <w:t>LookbacksFixedStrike</w:t>
            </w:r>
          </w:p>
        </w:tc>
      </w:tr>
      <w:tr>
        <w:tc>
          <w:tcPr>
            <w:tcW w:type="dxa" w:w="5083"/>
            <w:vAlign w:val="top"/>
          </w:tcPr>
          <w:p>
            <w:r>
              <w:rPr>
                <w:sz w:val="15"/>
              </w:rPr>
              <w:t>Put</w:t>
            </w:r>
          </w:p>
        </w:tc>
        <w:tc>
          <w:tcPr>
            <w:tcW w:type="dxa" w:w="5083"/>
            <w:vAlign w:val="top"/>
          </w:tcPr>
          <w:p>
            <w:r>
              <w:rPr>
                <w:sz w:val="15"/>
              </w:rPr>
              <w:t>LookbacksFixedStrike</w:t>
            </w:r>
          </w:p>
        </w:tc>
      </w:tr>
    </w:tbl>
    <w:p>
      <w:pPr>
        <w:pStyle w:val="Heading2"/>
      </w:pPr>
      <w:r>
        <w:t>Core flat API pattern</w:t>
      </w:r>
    </w:p>
    <w:p>
      <w:pPr>
        <w:spacing w:after="60"/>
        <w:ind w:left="216" w:right="72"/>
        <w:shd w:fill="F3F4F6"/>
      </w:pPr>
      <w:r>
        <w:rPr>
          <w:rFonts w:ascii="Consolas" w:hAnsi="Consolas" w:eastAsia="Consolas"/>
          <w:sz w:val="15"/>
        </w:rPr>
        <w:t>result = price(</w:t>
        <w:br/>
        <w:t xml:space="preserve">    "European", "Put",</w:t>
        <w:br/>
        <w:t xml:space="preserve">    underlying="PathIndependentOption",</w:t>
        <w:br/>
        <w:t xml:space="preserve">    wrapper_order="Lookback on underlying",</w:t>
        <w:br/>
        <w:t xml:space="preserve">    lookback="LookbacksFloatingStrike",</w:t>
        <w:br/>
        <w:t xml:space="preserve">    S0=100, K=100, r=0.10, sigma=0.30, y=0, T=0.20,</w:t>
        <w:br/>
        <w:t xml:space="preserve">    M=50, N=200000, seed=0,</w:t>
        <w:br/>
        <w:t xml:space="preserve">    jumps=False, greeks=False, retained_variables=False</w:t>
        <w:br/>
        <w:t>)</w:t>
      </w:r>
    </w:p>
    <w:p>
      <w:pPr>
        <w:pStyle w:val="Heading2"/>
      </w:pPr>
      <w:r>
        <w:t>How to validate the result</w:t>
      </w:r>
    </w:p>
    <w:p>
      <w:pPr>
        <w:pStyle w:val="ListBullet"/>
      </w:pPr>
      <w:r>
        <w:t>Price and standard error must be finite and non-negative.</w:t>
      </w:r>
    </w:p>
    <w:p>
      <w:pPr>
        <w:pStyle w:val="ListBullet"/>
      </w:pPr>
      <w:r>
        <w:t>Changing K from 100 to 137 must not materially change a floating-strike result.</w:t>
      </w:r>
    </w:p>
    <w:p>
      <w:pPr>
        <w:pStyle w:val="ListBullet"/>
      </w:pPr>
      <w:r>
        <w:t>Identical requests with the same seed must return identical price and standard error.</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BENCH_N_STEPS</w:t>
            </w:r>
          </w:p>
        </w:tc>
        <w:tc>
          <w:tcPr>
            <w:tcW w:type="dxa" w:w="5083"/>
            <w:vAlign w:val="top"/>
          </w:tcPr>
          <w:p>
            <w:r>
              <w:rPr>
                <w:sz w:val="15"/>
              </w:rPr>
              <w:t>50</w:t>
            </w:r>
          </w:p>
        </w:tc>
      </w:tr>
      <w:tr>
        <w:tc>
          <w:tcPr>
            <w:tcW w:type="dxa" w:w="5083"/>
            <w:vAlign w:val="top"/>
          </w:tcPr>
          <w:p>
            <w:r>
              <w:rPr>
                <w:sz w:val="15"/>
              </w:rPr>
              <w:t>BENCH_N_PATHS</w:t>
            </w:r>
          </w:p>
        </w:tc>
        <w:tc>
          <w:tcPr>
            <w:tcW w:type="dxa" w:w="5083"/>
            <w:vAlign w:val="top"/>
          </w:tcPr>
          <w:p>
            <w:r>
              <w:rPr>
                <w:sz w:val="15"/>
              </w:rPr>
              <w:t>200000</w:t>
            </w:r>
          </w:p>
        </w:tc>
      </w:tr>
      <w:tr>
        <w:tc>
          <w:tcPr>
            <w:tcW w:type="dxa" w:w="5083"/>
            <w:vAlign w:val="top"/>
          </w:tcPr>
          <w:p>
            <w:r>
              <w:rPr>
                <w:sz w:val="15"/>
              </w:rPr>
              <w:t>BENCH_SEED</w:t>
            </w:r>
          </w:p>
        </w:tc>
        <w:tc>
          <w:tcPr>
            <w:tcW w:type="dxa" w:w="5083"/>
            <w:vAlign w:val="top"/>
          </w:tcPr>
          <w:p>
            <w:r>
              <w:rPr>
                <w:sz w:val="15"/>
              </w:rPr>
              <w:t>0</w:t>
            </w:r>
          </w:p>
        </w:tc>
      </w:tr>
      <w:tr>
        <w:tc>
          <w:tcPr>
            <w:tcW w:type="dxa" w:w="5083"/>
            <w:vAlign w:val="top"/>
          </w:tcPr>
          <w:p>
            <w:r>
              <w:rPr>
                <w:sz w:val="15"/>
              </w:rPr>
              <w:t>BENCH_TOL_SE</w:t>
            </w:r>
          </w:p>
        </w:tc>
        <w:tc>
          <w:tcPr>
            <w:tcW w:type="dxa" w:w="5083"/>
            <w:vAlign w:val="top"/>
          </w:tcPr>
          <w:p>
            <w:r>
              <w:rPr>
                <w:sz w:val="15"/>
              </w:rPr>
              <w:t>4.0</w:t>
            </w:r>
          </w:p>
        </w:tc>
      </w:tr>
    </w:tbl>
    <w:p>
      <w:pPr>
        <w:pStyle w:val="Heading2"/>
      </w:pPr>
      <w:r>
        <w:t>Run the benchmark</w:t>
      </w:r>
    </w:p>
    <w:p>
      <w:pPr>
        <w:spacing w:after="60"/>
        <w:ind w:left="216" w:right="72"/>
        <w:shd w:fill="F3F4F6"/>
      </w:pPr>
      <w:r>
        <w:rPr>
          <w:rFonts w:ascii="Consolas" w:hAnsi="Consolas" w:eastAsia="Consolas"/>
          <w:sz w:val="16"/>
        </w:rPr>
        <w:t>python -m pytest -q -v "BenchmarkEuropeanLookbackGSG_API_ONLY_FLAT(1).py"</w:t>
      </w:r>
    </w:p>
    <w:p>
      <w:r>
        <w:br w:type="page"/>
      </w:r>
    </w:p>
    <w:p>
      <w:pPr>
        <w:pStyle w:val="Heading1"/>
      </w:pPr>
      <w:r>
        <w:t>Chapter 59. Jump-Diffusion Model Catalogue</w:t>
      </w:r>
    </w:p>
    <w:p>
      <w:r>
        <w:t>This chapter documents the 21-case catalogue created by combining three underlyings with seven rate/volatility/sentiment configurations under stock jumps.</w:t>
      </w:r>
    </w:p>
    <w:p>
      <w:pPr>
        <w:pStyle w:val="Heading2"/>
      </w:pPr>
      <w:r>
        <w:t>What this tutorial teaches</w:t>
      </w:r>
    </w:p>
    <w:p>
      <w:pPr>
        <w:pStyle w:val="ListBullet"/>
      </w:pPr>
      <w:r>
        <w:t>Use a single flat request body for every model combination.</w:t>
      </w:r>
    </w:p>
    <w:p>
      <w:pPr>
        <w:pStyle w:val="ListBullet"/>
      </w:pPr>
      <w:r>
        <w:t>Exercise vanilla, arithmetic-Asian and geometric-Asian underlyings.</w:t>
      </w:r>
    </w:p>
    <w:p>
      <w:pPr>
        <w:pStyle w:val="ListBullet"/>
      </w:pPr>
      <w:r>
        <w:t>Combine Vasicek, Heston and stochastic sentiment as independent selectable factors.</w:t>
      </w:r>
    </w:p>
    <w:p>
      <w:pPr>
        <w:pStyle w:val="ListBullet"/>
      </w:pPr>
      <w:r>
        <w:t>Use correlation matrices sized for the active factor dimension.</w:t>
      </w:r>
    </w:p>
    <w:p>
      <w:pPr>
        <w:pStyle w:val="Heading2"/>
      </w:pPr>
      <w:r>
        <w:t>Underlying classes</w:t>
      </w:r>
    </w:p>
    <w:tbl>
      <w:tblPr>
        <w:tblStyle w:val="TableGrid"/>
        <w:tblW w:type="auto" w:w="0"/>
        <w:jc w:val="center"/>
        <w:tblLook w:firstColumn="1" w:firstRow="1" w:lastColumn="0" w:lastRow="0" w:noHBand="0" w:noVBand="1" w:val="04A0"/>
      </w:tblPr>
      <w:tblGrid>
        <w:gridCol w:w="10166"/>
      </w:tblGrid>
      <w:tr>
        <w:trPr>
          <w:tblHeader w:val="true"/>
        </w:trPr>
        <w:tc>
          <w:tcPr>
            <w:tcW w:type="dxa" w:w="10166"/>
            <w:shd w:fill="D9EAF7"/>
            <w:vAlign w:val="center"/>
          </w:tcPr>
          <w:p>
            <w:r>
              <w:rPr>
                <w:b/>
                <w:sz w:val="16"/>
              </w:rPr>
              <w:t>Underlying</w:t>
            </w:r>
          </w:p>
        </w:tc>
      </w:tr>
      <w:tr>
        <w:tc>
          <w:tcPr>
            <w:tcW w:type="dxa" w:w="10166"/>
            <w:vAlign w:val="top"/>
          </w:tcPr>
          <w:p>
            <w:r>
              <w:rPr>
                <w:sz w:val="15"/>
              </w:rPr>
              <w:t>PathIndependentOption</w:t>
            </w:r>
          </w:p>
        </w:tc>
      </w:tr>
      <w:tr>
        <w:tc>
          <w:tcPr>
            <w:tcW w:type="dxa" w:w="10166"/>
            <w:vAlign w:val="top"/>
          </w:tcPr>
          <w:p>
            <w:r>
              <w:rPr>
                <w:sz w:val="15"/>
              </w:rPr>
              <w:t>PathArithmeticAsianOption</w:t>
            </w:r>
          </w:p>
        </w:tc>
      </w:tr>
      <w:tr>
        <w:tc>
          <w:tcPr>
            <w:tcW w:type="dxa" w:w="10166"/>
            <w:vAlign w:val="top"/>
          </w:tcPr>
          <w:p>
            <w:r>
              <w:rPr>
                <w:sz w:val="15"/>
              </w:rPr>
              <w:t>PathGeometricAsianOption</w:t>
            </w:r>
          </w:p>
        </w:tc>
      </w:tr>
    </w:tbl>
    <w:p>
      <w:pPr>
        <w:pStyle w:val="Heading2"/>
      </w:pPr>
      <w:r>
        <w:t>Factor configurations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D9EAF7"/>
            <w:vAlign w:val="center"/>
          </w:tcPr>
          <w:p>
            <w:r>
              <w:rPr>
                <w:b/>
                <w:sz w:val="16"/>
              </w:rPr>
              <w:t>Rate</w:t>
            </w:r>
          </w:p>
        </w:tc>
        <w:tc>
          <w:tcPr>
            <w:tcW w:type="dxa" w:w="3389"/>
            <w:shd w:fill="D9EAF7"/>
            <w:vAlign w:val="center"/>
          </w:tcPr>
          <w:p>
            <w:r>
              <w:rPr>
                <w:b/>
                <w:sz w:val="16"/>
              </w:rPr>
              <w:t>Volatility</w:t>
            </w:r>
          </w:p>
        </w:tc>
        <w:tc>
          <w:tcPr>
            <w:tcW w:type="dxa" w:w="3389"/>
            <w:shd w:fill="D9EAF7"/>
            <w:vAlign w:val="center"/>
          </w:tcPr>
          <w:p>
            <w:r>
              <w:rPr>
                <w:b/>
                <w:sz w:val="16"/>
              </w:rPr>
              <w:t>Sentiment</w:t>
            </w:r>
          </w:p>
        </w:tc>
      </w:tr>
      <w:tr>
        <w:tc>
          <w:tcPr>
            <w:tcW w:type="dxa" w:w="3389"/>
            <w:vAlign w:val="top"/>
          </w:tcPr>
          <w:p>
            <w:r>
              <w:rPr>
                <w:sz w:val="15"/>
              </w:rPr>
              <w:t>Constant</w:t>
            </w:r>
          </w:p>
        </w:tc>
        <w:tc>
          <w:tcPr>
            <w:tcW w:type="dxa" w:w="3389"/>
            <w:vAlign w:val="top"/>
          </w:tcPr>
          <w:p>
            <w:r>
              <w:rPr>
                <w:sz w:val="15"/>
              </w:rPr>
              <w:t>Constant</w:t>
            </w:r>
          </w:p>
        </w:tc>
        <w:tc>
          <w:tcPr>
            <w:tcW w:type="dxa" w:w="3389"/>
            <w:vAlign w:val="top"/>
          </w:tcPr>
          <w:p>
            <w:r>
              <w:rPr>
                <w:sz w:val="15"/>
              </w:rPr>
              <w:t>Constant</w:t>
            </w:r>
          </w:p>
        </w:tc>
      </w:tr>
      <w:tr>
        <w:tc>
          <w:tcPr>
            <w:tcW w:type="dxa" w:w="3389"/>
            <w:vAlign w:val="top"/>
          </w:tcPr>
          <w:p>
            <w:r>
              <w:rPr>
                <w:sz w:val="15"/>
              </w:rPr>
              <w:t>Constant</w:t>
            </w:r>
          </w:p>
        </w:tc>
        <w:tc>
          <w:tcPr>
            <w:tcW w:type="dxa" w:w="3389"/>
            <w:vAlign w:val="top"/>
          </w:tcPr>
          <w:p>
            <w:r>
              <w:rPr>
                <w:sz w:val="15"/>
              </w:rPr>
              <w:t>Heston</w:t>
            </w:r>
          </w:p>
        </w:tc>
        <w:tc>
          <w:tcPr>
            <w:tcW w:type="dxa" w:w="3389"/>
            <w:vAlign w:val="top"/>
          </w:tcPr>
          <w:p>
            <w:r>
              <w:rPr>
                <w:sz w:val="15"/>
              </w:rPr>
              <w:t>Constant</w:t>
            </w:r>
          </w:p>
        </w:tc>
      </w:tr>
      <w:tr>
        <w:tc>
          <w:tcPr>
            <w:tcW w:type="dxa" w:w="3389"/>
            <w:vAlign w:val="top"/>
          </w:tcPr>
          <w:p>
            <w:r>
              <w:rPr>
                <w:sz w:val="15"/>
              </w:rPr>
              <w:t>Vasicek</w:t>
            </w:r>
          </w:p>
        </w:tc>
        <w:tc>
          <w:tcPr>
            <w:tcW w:type="dxa" w:w="3389"/>
            <w:vAlign w:val="top"/>
          </w:tcPr>
          <w:p>
            <w:r>
              <w:rPr>
                <w:sz w:val="15"/>
              </w:rPr>
              <w:t>Constant</w:t>
            </w:r>
          </w:p>
        </w:tc>
        <w:tc>
          <w:tcPr>
            <w:tcW w:type="dxa" w:w="3389"/>
            <w:vAlign w:val="top"/>
          </w:tcPr>
          <w:p>
            <w:r>
              <w:rPr>
                <w:sz w:val="15"/>
              </w:rPr>
              <w:t>Constant</w:t>
            </w:r>
          </w:p>
        </w:tc>
      </w:tr>
      <w:tr>
        <w:tc>
          <w:tcPr>
            <w:tcW w:type="dxa" w:w="3389"/>
            <w:vAlign w:val="top"/>
          </w:tcPr>
          <w:p>
            <w:r>
              <w:rPr>
                <w:sz w:val="15"/>
              </w:rPr>
              <w:t>Vasicek</w:t>
            </w:r>
          </w:p>
        </w:tc>
        <w:tc>
          <w:tcPr>
            <w:tcW w:type="dxa" w:w="3389"/>
            <w:vAlign w:val="top"/>
          </w:tcPr>
          <w:p>
            <w:r>
              <w:rPr>
                <w:sz w:val="15"/>
              </w:rPr>
              <w:t>Heston</w:t>
            </w:r>
          </w:p>
        </w:tc>
        <w:tc>
          <w:tcPr>
            <w:tcW w:type="dxa" w:w="3389"/>
            <w:vAlign w:val="top"/>
          </w:tcPr>
          <w:p>
            <w:r>
              <w:rPr>
                <w:sz w:val="15"/>
              </w:rPr>
              <w:t>Constant</w:t>
            </w:r>
          </w:p>
        </w:tc>
      </w:tr>
      <w:tr>
        <w:tc>
          <w:tcPr>
            <w:tcW w:type="dxa" w:w="3389"/>
            <w:vAlign w:val="top"/>
          </w:tcPr>
          <w:p>
            <w:r>
              <w:rPr>
                <w:sz w:val="15"/>
              </w:rPr>
              <w:t>Constant</w:t>
            </w:r>
          </w:p>
        </w:tc>
        <w:tc>
          <w:tcPr>
            <w:tcW w:type="dxa" w:w="3389"/>
            <w:vAlign w:val="top"/>
          </w:tcPr>
          <w:p>
            <w:r>
              <w:rPr>
                <w:sz w:val="15"/>
              </w:rPr>
              <w:t>Constant</w:t>
            </w:r>
          </w:p>
        </w:tc>
        <w:tc>
          <w:tcPr>
            <w:tcW w:type="dxa" w:w="3389"/>
            <w:vAlign w:val="top"/>
          </w:tcPr>
          <w:p>
            <w:r>
              <w:rPr>
                <w:sz w:val="15"/>
              </w:rPr>
              <w:t>Stochastic</w:t>
            </w:r>
          </w:p>
        </w:tc>
      </w:tr>
      <w:tr>
        <w:tc>
          <w:tcPr>
            <w:tcW w:type="dxa" w:w="3389"/>
            <w:vAlign w:val="top"/>
          </w:tcPr>
          <w:p>
            <w:r>
              <w:rPr>
                <w:sz w:val="15"/>
              </w:rPr>
              <w:t>Constant</w:t>
            </w:r>
          </w:p>
        </w:tc>
        <w:tc>
          <w:tcPr>
            <w:tcW w:type="dxa" w:w="3389"/>
            <w:vAlign w:val="top"/>
          </w:tcPr>
          <w:p>
            <w:r>
              <w:rPr>
                <w:sz w:val="15"/>
              </w:rPr>
              <w:t>Heston</w:t>
            </w:r>
          </w:p>
        </w:tc>
        <w:tc>
          <w:tcPr>
            <w:tcW w:type="dxa" w:w="3389"/>
            <w:vAlign w:val="top"/>
          </w:tcPr>
          <w:p>
            <w:r>
              <w:rPr>
                <w:sz w:val="15"/>
              </w:rPr>
              <w:t>Stochastic</w:t>
            </w:r>
          </w:p>
        </w:tc>
      </w:tr>
      <w:tr>
        <w:tc>
          <w:tcPr>
            <w:tcW w:type="dxa" w:w="3389"/>
            <w:vAlign w:val="top"/>
          </w:tcPr>
          <w:p>
            <w:r>
              <w:rPr>
                <w:sz w:val="15"/>
              </w:rPr>
              <w:t>Vasicek</w:t>
            </w:r>
          </w:p>
        </w:tc>
        <w:tc>
          <w:tcPr>
            <w:tcW w:type="dxa" w:w="3389"/>
            <w:vAlign w:val="top"/>
          </w:tcPr>
          <w:p>
            <w:r>
              <w:rPr>
                <w:sz w:val="15"/>
              </w:rPr>
              <w:t>Heston</w:t>
            </w:r>
          </w:p>
        </w:tc>
        <w:tc>
          <w:tcPr>
            <w:tcW w:type="dxa" w:w="3389"/>
            <w:vAlign w:val="top"/>
          </w:tcPr>
          <w:p>
            <w:r>
              <w:rPr>
                <w:sz w:val="15"/>
              </w:rPr>
              <w:t>Stochastic</w:t>
            </w:r>
          </w:p>
        </w:tc>
      </w:tr>
    </w:tbl>
    <w:p>
      <w:pPr>
        <w:pStyle w:val="Heading2"/>
      </w:pPr>
      <w:r>
        <w:t>Core flat API pattern</w:t>
      </w:r>
    </w:p>
    <w:p>
      <w:pPr>
        <w:spacing w:after="60"/>
        <w:ind w:left="216" w:right="72"/>
        <w:shd w:fill="F3F4F6"/>
      </w:pPr>
      <w:r>
        <w:rPr>
          <w:rFonts w:ascii="Consolas" w:hAnsi="Consolas" w:eastAsia="Consolas"/>
          <w:sz w:val="15"/>
        </w:rPr>
        <w:t>result = price(</w:t>
        <w:br/>
        <w:t xml:space="preserve">    "European", "Call",</w:t>
        <w:br/>
        <w:t xml:space="preserve">    underlying="PathGeometricAsianOption",</w:t>
        <w:br/>
        <w:t xml:space="preserve">    wrapper_order="Underlying only",</w:t>
        <w:br/>
        <w:t xml:space="preserve">    S0=100, K=100, r=0.05, sigma=0.20, y=0, T=1,</w:t>
        <w:br/>
        <w:t xml:space="preserve">    M=16, N=8000, seed=0,</w:t>
        <w:br/>
        <w:t xml:space="preserve">    jumps=True, muJ=0.0, sigmaJ=0.10, Lambda=0.50,</w:t>
        <w:br/>
        <w:t xml:space="preserve">    rate_model="Vasicek", sigma_R=0.01, rate_a=0.50, rate_b=0.05,</w:t>
        <w:br/>
        <w:t xml:space="preserve">    volatility_model="Heston", gamma=0.30, kappa=1.50, theta=0.04,</w:t>
        <w:br/>
        <w:t xml:space="preserve">    sentiment_model="Stochastic", sentiment0=1.0,</w:t>
        <w:br/>
        <w:t xml:space="preserve">    mu_sent=0.05, sigma_sent=0.20,</w:t>
        <w:br/>
        <w:t xml:space="preserve">    correlation3=[[1,0,0],[0,1,0],[0,0,1]]</w:t>
        <w:br/>
        <w:t>)</w:t>
      </w:r>
    </w:p>
    <w:p>
      <w:pPr>
        <w:pStyle w:val="Heading2"/>
      </w:pPr>
      <w:r>
        <w:t>How to validate the result</w:t>
      </w:r>
    </w:p>
    <w:p>
      <w:pPr>
        <w:pStyle w:val="ListBullet"/>
      </w:pPr>
      <w:r>
        <w:t>Every catalogue cell must return a finite, non-negative price and standard error.</w:t>
      </w:r>
    </w:p>
    <w:p>
      <w:pPr>
        <w:pStyle w:val="ListBullet"/>
      </w:pPr>
      <w:r>
        <w:t>config_echo.stock_jumps_enabled must be True.</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BENCH_N_PATHS</w:t>
            </w:r>
          </w:p>
        </w:tc>
        <w:tc>
          <w:tcPr>
            <w:tcW w:type="dxa" w:w="5083"/>
            <w:vAlign w:val="top"/>
          </w:tcPr>
          <w:p>
            <w:r>
              <w:rPr>
                <w:sz w:val="15"/>
              </w:rPr>
              <w:t>8000</w:t>
            </w:r>
          </w:p>
        </w:tc>
      </w:tr>
      <w:tr>
        <w:tc>
          <w:tcPr>
            <w:tcW w:type="dxa" w:w="5083"/>
            <w:vAlign w:val="top"/>
          </w:tcPr>
          <w:p>
            <w:r>
              <w:rPr>
                <w:sz w:val="15"/>
              </w:rPr>
              <w:t>BENCH_N_STEPS</w:t>
            </w:r>
          </w:p>
        </w:tc>
        <w:tc>
          <w:tcPr>
            <w:tcW w:type="dxa" w:w="5083"/>
            <w:vAlign w:val="top"/>
          </w:tcPr>
          <w:p>
            <w:r>
              <w:rPr>
                <w:sz w:val="15"/>
              </w:rPr>
              <w:t>16</w:t>
            </w:r>
          </w:p>
        </w:tc>
      </w:tr>
      <w:tr>
        <w:tc>
          <w:tcPr>
            <w:tcW w:type="dxa" w:w="5083"/>
            <w:vAlign w:val="top"/>
          </w:tcPr>
          <w:p>
            <w:r>
              <w:rPr>
                <w:sz w:val="15"/>
              </w:rPr>
              <w:t>BENCH_LAMBDA</w:t>
            </w:r>
          </w:p>
        </w:tc>
        <w:tc>
          <w:tcPr>
            <w:tcW w:type="dxa" w:w="5083"/>
            <w:vAlign w:val="top"/>
          </w:tcPr>
          <w:p>
            <w:r>
              <w:rPr>
                <w:sz w:val="15"/>
              </w:rPr>
              <w:t>0.5</w:t>
            </w:r>
          </w:p>
        </w:tc>
      </w:tr>
      <w:tr>
        <w:tc>
          <w:tcPr>
            <w:tcW w:type="dxa" w:w="5083"/>
            <w:vAlign w:val="top"/>
          </w:tcPr>
          <w:p>
            <w:r>
              <w:rPr>
                <w:sz w:val="15"/>
              </w:rPr>
              <w:t>BENCH_MAX_CASES</w:t>
            </w:r>
          </w:p>
        </w:tc>
        <w:tc>
          <w:tcPr>
            <w:tcW w:type="dxa" w:w="5083"/>
            <w:vAlign w:val="top"/>
          </w:tcPr>
          <w:p>
            <w:r>
              <w:rPr>
                <w:sz w:val="15"/>
              </w:rPr>
              <w:t>0 = all 21 cases</w:t>
            </w:r>
          </w:p>
        </w:tc>
      </w:tr>
    </w:tbl>
    <w:p>
      <w:pPr>
        <w:pStyle w:val="Heading2"/>
      </w:pPr>
      <w:r>
        <w:t>Run the benchmark</w:t>
      </w:r>
    </w:p>
    <w:p>
      <w:pPr>
        <w:spacing w:after="60"/>
        <w:ind w:left="216" w:right="72"/>
        <w:shd w:fill="F3F4F6"/>
      </w:pPr>
      <w:r>
        <w:rPr>
          <w:rFonts w:ascii="Consolas" w:hAnsi="Consolas" w:eastAsia="Consolas"/>
          <w:sz w:val="16"/>
        </w:rPr>
        <w:t>python -m pytest -q -v "BenchmarkJumps_API_ONLY_FLAT(1).py"</w:t>
      </w:r>
    </w:p>
    <w:p>
      <w:r>
        <w:br w:type="page"/>
      </w:r>
    </w:p>
    <w:p>
      <w:pPr>
        <w:pStyle w:val="Heading1"/>
      </w:pPr>
      <w:r>
        <w:t>Chapter 60. European Lookback Catalogue with Stock Jumps</w:t>
      </w:r>
    </w:p>
    <w:p>
      <w:r>
        <w:t>This chapter expands the jump catalogue to fixed- and floating-strike lookbacks across three underlyings and seven factor configurations.</w:t>
      </w:r>
    </w:p>
    <w:p>
      <w:pPr>
        <w:pStyle w:val="Heading2"/>
      </w:pPr>
      <w:r>
        <w:t>What this tutorial teaches</w:t>
      </w:r>
    </w:p>
    <w:p>
      <w:pPr>
        <w:pStyle w:val="ListBullet"/>
      </w:pPr>
      <w:r>
        <w:t>Compose lookbacks over vanilla and Asian path dependencies.</w:t>
      </w:r>
    </w:p>
    <w:p>
      <w:pPr>
        <w:pStyle w:val="ListBullet"/>
      </w:pPr>
      <w:r>
        <w:t>Enable stock jumps and optional stochastic rates, volatility and sentiment.</w:t>
      </w:r>
    </w:p>
    <w:p>
      <w:pPr>
        <w:pStyle w:val="ListBullet"/>
      </w:pPr>
      <w:r>
        <w:t>Confirm that config_echo preserves the requested lookback and activates the jump path generator.</w:t>
      </w:r>
    </w:p>
    <w:p>
      <w:pPr>
        <w:pStyle w:val="Heading2"/>
      </w:pPr>
      <w:r>
        <w:t>Catalogue dimensions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Dimension</w:t>
            </w:r>
          </w:p>
        </w:tc>
        <w:tc>
          <w:tcPr>
            <w:tcW w:type="dxa" w:w="5083"/>
            <w:shd w:fill="D9EAF7"/>
            <w:vAlign w:val="center"/>
          </w:tcPr>
          <w:p>
            <w:r>
              <w:rPr>
                <w:b/>
                <w:sz w:val="16"/>
              </w:rPr>
              <w:t>Values</w:t>
            </w:r>
          </w:p>
        </w:tc>
      </w:tr>
      <w:tr>
        <w:tc>
          <w:tcPr>
            <w:tcW w:type="dxa" w:w="5083"/>
            <w:vAlign w:val="top"/>
          </w:tcPr>
          <w:p>
            <w:r>
              <w:rPr>
                <w:sz w:val="15"/>
              </w:rPr>
              <w:t>Lookback</w:t>
            </w:r>
          </w:p>
        </w:tc>
        <w:tc>
          <w:tcPr>
            <w:tcW w:type="dxa" w:w="5083"/>
            <w:vAlign w:val="top"/>
          </w:tcPr>
          <w:p>
            <w:r>
              <w:rPr>
                <w:sz w:val="15"/>
              </w:rPr>
              <w:t>Fixed, Floating</w:t>
            </w:r>
          </w:p>
        </w:tc>
      </w:tr>
      <w:tr>
        <w:tc>
          <w:tcPr>
            <w:tcW w:type="dxa" w:w="5083"/>
            <w:vAlign w:val="top"/>
          </w:tcPr>
          <w:p>
            <w:r>
              <w:rPr>
                <w:sz w:val="15"/>
              </w:rPr>
              <w:t>Underlying</w:t>
            </w:r>
          </w:p>
        </w:tc>
        <w:tc>
          <w:tcPr>
            <w:tcW w:type="dxa" w:w="5083"/>
            <w:vAlign w:val="top"/>
          </w:tcPr>
          <w:p>
            <w:r>
              <w:rPr>
                <w:sz w:val="15"/>
              </w:rPr>
              <w:t>Vanilla, Arithmetic Asian, Geometric Asian</w:t>
            </w:r>
          </w:p>
        </w:tc>
      </w:tr>
      <w:tr>
        <w:tc>
          <w:tcPr>
            <w:tcW w:type="dxa" w:w="5083"/>
            <w:vAlign w:val="top"/>
          </w:tcPr>
          <w:p>
            <w:r>
              <w:rPr>
                <w:sz w:val="15"/>
              </w:rPr>
              <w:t>Factor configuration</w:t>
            </w:r>
          </w:p>
        </w:tc>
        <w:tc>
          <w:tcPr>
            <w:tcW w:type="dxa" w:w="5083"/>
            <w:vAlign w:val="top"/>
          </w:tcPr>
          <w:p>
            <w:r>
              <w:rPr>
                <w:sz w:val="15"/>
              </w:rPr>
              <w:t>7 combinations</w:t>
            </w:r>
          </w:p>
        </w:tc>
      </w:tr>
    </w:tbl>
    <w:p>
      <w:pPr>
        <w:pStyle w:val="Heading2"/>
      </w:pPr>
      <w:r>
        <w:t>Core flat API pattern</w:t>
      </w:r>
    </w:p>
    <w:p>
      <w:pPr>
        <w:spacing w:after="60"/>
        <w:ind w:left="216" w:right="72"/>
        <w:shd w:fill="F3F4F6"/>
      </w:pPr>
      <w:r>
        <w:rPr>
          <w:rFonts w:ascii="Consolas" w:hAnsi="Consolas" w:eastAsia="Consolas"/>
          <w:sz w:val="15"/>
        </w:rPr>
        <w:t>result = price(</w:t>
        <w:br/>
        <w:t xml:space="preserve">    "European", "Call",</w:t>
        <w:br/>
        <w:t xml:space="preserve">    underlying="PathArithmeticAsianOption",</w:t>
        <w:br/>
        <w:t xml:space="preserve">    wrapper_order="Lookback on underlying",</w:t>
        <w:br/>
        <w:t xml:space="preserve">    lookback="LookbacksFixedStrike",</w:t>
        <w:br/>
        <w:t xml:space="preserve">    S0=100, K=100, r=0.05, sigma=0.20, y=0, T=1,</w:t>
        <w:br/>
        <w:t xml:space="preserve">    M=16, N=8000, seed=0,</w:t>
        <w:br/>
        <w:t xml:space="preserve">    jumps=True, muJ=0.0, sigmaJ=0.10, Lambda=0.50,</w:t>
        <w:br/>
        <w:t xml:space="preserve">    rate_model="Vasicek",</w:t>
        <w:br/>
        <w:t xml:space="preserve">    volatility_model="Heston",</w:t>
        <w:br/>
        <w:t xml:space="preserve">    sentiment_model="Stochastic"</w:t>
        <w:br/>
        <w:t>)</w:t>
      </w:r>
    </w:p>
    <w:p>
      <w:pPr>
        <w:pStyle w:val="Heading2"/>
      </w:pPr>
      <w:r>
        <w:t>How to validate the result</w:t>
      </w:r>
    </w:p>
    <w:p>
      <w:pPr>
        <w:pStyle w:val="ListBullet"/>
      </w:pPr>
      <w:r>
        <w:t>All 42 catalogue cells must return finite non-negative price and standard error.</w:t>
      </w:r>
    </w:p>
    <w:p>
      <w:pPr>
        <w:pStyle w:val="ListBullet"/>
      </w:pPr>
      <w:r>
        <w:t>config_echo.lookback_requested must equal the requested lookback.</w:t>
      </w:r>
    </w:p>
    <w:p>
      <w:pPr>
        <w:pStyle w:val="ListBullet"/>
      </w:pPr>
      <w:r>
        <w:t>config_echo.stock_jumps_enabled must be True.</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BENCH_N_PATHS</w:t>
            </w:r>
          </w:p>
        </w:tc>
        <w:tc>
          <w:tcPr>
            <w:tcW w:type="dxa" w:w="5083"/>
            <w:vAlign w:val="top"/>
          </w:tcPr>
          <w:p>
            <w:r>
              <w:rPr>
                <w:sz w:val="15"/>
              </w:rPr>
              <w:t>8000</w:t>
            </w:r>
          </w:p>
        </w:tc>
      </w:tr>
      <w:tr>
        <w:tc>
          <w:tcPr>
            <w:tcW w:type="dxa" w:w="5083"/>
            <w:vAlign w:val="top"/>
          </w:tcPr>
          <w:p>
            <w:r>
              <w:rPr>
                <w:sz w:val="15"/>
              </w:rPr>
              <w:t>BENCH_N_STEPS</w:t>
            </w:r>
          </w:p>
        </w:tc>
        <w:tc>
          <w:tcPr>
            <w:tcW w:type="dxa" w:w="5083"/>
            <w:vAlign w:val="top"/>
          </w:tcPr>
          <w:p>
            <w:r>
              <w:rPr>
                <w:sz w:val="15"/>
              </w:rPr>
              <w:t>16</w:t>
            </w:r>
          </w:p>
        </w:tc>
      </w:tr>
      <w:tr>
        <w:tc>
          <w:tcPr>
            <w:tcW w:type="dxa" w:w="5083"/>
            <w:vAlign w:val="top"/>
          </w:tcPr>
          <w:p>
            <w:r>
              <w:rPr>
                <w:sz w:val="15"/>
              </w:rPr>
              <w:t>BENCH_LAMBDA</w:t>
            </w:r>
          </w:p>
        </w:tc>
        <w:tc>
          <w:tcPr>
            <w:tcW w:type="dxa" w:w="5083"/>
            <w:vAlign w:val="top"/>
          </w:tcPr>
          <w:p>
            <w:r>
              <w:rPr>
                <w:sz w:val="15"/>
              </w:rPr>
              <w:t>0.5</w:t>
            </w:r>
          </w:p>
        </w:tc>
      </w:tr>
      <w:tr>
        <w:tc>
          <w:tcPr>
            <w:tcW w:type="dxa" w:w="5083"/>
            <w:vAlign w:val="top"/>
          </w:tcPr>
          <w:p>
            <w:r>
              <w:rPr>
                <w:sz w:val="15"/>
              </w:rPr>
              <w:t>BENCH_MAX_CASES</w:t>
            </w:r>
          </w:p>
        </w:tc>
        <w:tc>
          <w:tcPr>
            <w:tcW w:type="dxa" w:w="5083"/>
            <w:vAlign w:val="top"/>
          </w:tcPr>
          <w:p>
            <w:r>
              <w:rPr>
                <w:sz w:val="15"/>
              </w:rPr>
              <w:t>0 = all 42 cases</w:t>
            </w:r>
          </w:p>
        </w:tc>
      </w:tr>
    </w:tbl>
    <w:p>
      <w:pPr>
        <w:pStyle w:val="Heading2"/>
      </w:pPr>
      <w:r>
        <w:t>Run the benchmark</w:t>
      </w:r>
    </w:p>
    <w:p>
      <w:pPr>
        <w:spacing w:after="60"/>
        <w:ind w:left="216" w:right="72"/>
        <w:shd w:fill="F3F4F6"/>
      </w:pPr>
      <w:r>
        <w:rPr>
          <w:rFonts w:ascii="Consolas" w:hAnsi="Consolas" w:eastAsia="Consolas"/>
          <w:sz w:val="16"/>
        </w:rPr>
        <w:t>python -m pytest -q -v "BenchmarkLookbackJumps_API_ONLY_FLAT(1).py"</w:t>
      </w:r>
    </w:p>
    <w:p>
      <w:r>
        <w:br w:type="page"/>
      </w:r>
    </w:p>
    <w:p>
      <w:pPr>
        <w:pStyle w:val="Heading1"/>
      </w:pPr>
      <w:r>
        <w:t>Chapter 61. 384-Case Nested Lookback-Barrier Grid with Stock Jumps</w:t>
      </w:r>
    </w:p>
    <w:p>
      <w:r>
        <w:t>This chapter explains the complete European nested-composition grid under jump diffusion, including discrete and continuous barrier classes.</w:t>
      </w:r>
    </w:p>
    <w:p>
      <w:pPr>
        <w:pStyle w:val="Heading2"/>
      </w:pPr>
      <w:r>
        <w:t>What this tutorial teaches</w:t>
      </w:r>
    </w:p>
    <w:p>
      <w:pPr>
        <w:pStyle w:val="ListBullet"/>
      </w:pPr>
      <w:r>
        <w:t>Exercise both wrapper orders.</w:t>
      </w:r>
    </w:p>
    <w:p>
      <w:pPr>
        <w:pStyle w:val="ListBullet"/>
      </w:pPr>
      <w:r>
        <w:t>Use three underlying types, sixteen barrier classes, two lookbacks and two payoffs.</w:t>
      </w:r>
    </w:p>
    <w:p>
      <w:pPr>
        <w:pStyle w:val="ListBullet"/>
      </w:pPr>
      <w:r>
        <w:t>Enable the Merton jump leg and keep all other model families constant for a focused composition test.</w:t>
      </w:r>
    </w:p>
    <w:p>
      <w:pPr>
        <w:pStyle w:val="ListBullet"/>
      </w:pPr>
      <w:r>
        <w:t>Use BENCH_MAX_CASES for smoke testing before running all 384 cells.</w:t>
      </w:r>
    </w:p>
    <w:p>
      <w:pPr>
        <w:pStyle w:val="Heading2"/>
      </w:pPr>
      <w:r>
        <w:t>Grid size</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Dimension</w:t>
            </w:r>
          </w:p>
        </w:tc>
        <w:tc>
          <w:tcPr>
            <w:tcW w:type="dxa" w:w="5083"/>
            <w:shd w:fill="D9EAF7"/>
            <w:vAlign w:val="center"/>
          </w:tcPr>
          <w:p>
            <w:r>
              <w:rPr>
                <w:b/>
                <w:sz w:val="16"/>
              </w:rPr>
              <w:t>Count</w:t>
            </w:r>
          </w:p>
        </w:tc>
      </w:tr>
      <w:tr>
        <w:tc>
          <w:tcPr>
            <w:tcW w:type="dxa" w:w="5083"/>
            <w:vAlign w:val="top"/>
          </w:tcPr>
          <w:p>
            <w:r>
              <w:rPr>
                <w:sz w:val="15"/>
              </w:rPr>
              <w:t>Wrapper orders</w:t>
            </w:r>
          </w:p>
        </w:tc>
        <w:tc>
          <w:tcPr>
            <w:tcW w:type="dxa" w:w="5083"/>
            <w:vAlign w:val="top"/>
          </w:tcPr>
          <w:p>
            <w:r>
              <w:rPr>
                <w:sz w:val="15"/>
              </w:rPr>
              <w:t>2</w:t>
            </w:r>
          </w:p>
        </w:tc>
      </w:tr>
      <w:tr>
        <w:tc>
          <w:tcPr>
            <w:tcW w:type="dxa" w:w="5083"/>
            <w:vAlign w:val="top"/>
          </w:tcPr>
          <w:p>
            <w:r>
              <w:rPr>
                <w:sz w:val="15"/>
              </w:rPr>
              <w:t>Underlyings</w:t>
            </w:r>
          </w:p>
        </w:tc>
        <w:tc>
          <w:tcPr>
            <w:tcW w:type="dxa" w:w="5083"/>
            <w:vAlign w:val="top"/>
          </w:tcPr>
          <w:p>
            <w:r>
              <w:rPr>
                <w:sz w:val="15"/>
              </w:rPr>
              <w:t>3</w:t>
            </w:r>
          </w:p>
        </w:tc>
      </w:tr>
      <w:tr>
        <w:tc>
          <w:tcPr>
            <w:tcW w:type="dxa" w:w="5083"/>
            <w:vAlign w:val="top"/>
          </w:tcPr>
          <w:p>
            <w:r>
              <w:rPr>
                <w:sz w:val="15"/>
              </w:rPr>
              <w:t>Barriers</w:t>
            </w:r>
          </w:p>
        </w:tc>
        <w:tc>
          <w:tcPr>
            <w:tcW w:type="dxa" w:w="5083"/>
            <w:vAlign w:val="top"/>
          </w:tcPr>
          <w:p>
            <w:r>
              <w:rPr>
                <w:sz w:val="15"/>
              </w:rPr>
              <w:t>16</w:t>
            </w:r>
          </w:p>
        </w:tc>
      </w:tr>
      <w:tr>
        <w:tc>
          <w:tcPr>
            <w:tcW w:type="dxa" w:w="5083"/>
            <w:vAlign w:val="top"/>
          </w:tcPr>
          <w:p>
            <w:r>
              <w:rPr>
                <w:sz w:val="15"/>
              </w:rPr>
              <w:t>Lookbacks</w:t>
            </w:r>
          </w:p>
        </w:tc>
        <w:tc>
          <w:tcPr>
            <w:tcW w:type="dxa" w:w="5083"/>
            <w:vAlign w:val="top"/>
          </w:tcPr>
          <w:p>
            <w:r>
              <w:rPr>
                <w:sz w:val="15"/>
              </w:rPr>
              <w:t>2</w:t>
            </w:r>
          </w:p>
        </w:tc>
      </w:tr>
      <w:tr>
        <w:tc>
          <w:tcPr>
            <w:tcW w:type="dxa" w:w="5083"/>
            <w:vAlign w:val="top"/>
          </w:tcPr>
          <w:p>
            <w:r>
              <w:rPr>
                <w:sz w:val="15"/>
              </w:rPr>
              <w:t>Payoffs</w:t>
            </w:r>
          </w:p>
        </w:tc>
        <w:tc>
          <w:tcPr>
            <w:tcW w:type="dxa" w:w="5083"/>
            <w:vAlign w:val="top"/>
          </w:tcPr>
          <w:p>
            <w:r>
              <w:rPr>
                <w:sz w:val="15"/>
              </w:rPr>
              <w:t>2</w:t>
            </w:r>
          </w:p>
        </w:tc>
      </w:tr>
      <w:tr>
        <w:tc>
          <w:tcPr>
            <w:tcW w:type="dxa" w:w="5083"/>
            <w:vAlign w:val="top"/>
          </w:tcPr>
          <w:p>
            <w:r>
              <w:rPr>
                <w:sz w:val="15"/>
              </w:rPr>
              <w:t>Total</w:t>
            </w:r>
          </w:p>
        </w:tc>
        <w:tc>
          <w:tcPr>
            <w:tcW w:type="dxa" w:w="5083"/>
            <w:vAlign w:val="top"/>
          </w:tcPr>
          <w:p>
            <w:r>
              <w:rPr>
                <w:sz w:val="15"/>
              </w:rPr>
              <w:t>384</w:t>
            </w:r>
          </w:p>
        </w:tc>
      </w:tr>
    </w:tbl>
    <w:p>
      <w:pPr>
        <w:pStyle w:val="Heading2"/>
      </w:pPr>
      <w:r>
        <w:t>Core flat API pattern</w:t>
      </w:r>
    </w:p>
    <w:p>
      <w:pPr>
        <w:spacing w:after="60"/>
        <w:ind w:left="216" w:right="72"/>
        <w:shd w:fill="F3F4F6"/>
      </w:pPr>
      <w:r>
        <w:rPr>
          <w:rFonts w:ascii="Consolas" w:hAnsi="Consolas" w:eastAsia="Consolas"/>
          <w:sz w:val="15"/>
        </w:rPr>
        <w:t>result = price(</w:t>
        <w:br/>
        <w:t xml:space="preserve">    "European", "Put",</w:t>
        <w:br/>
        <w:t xml:space="preserve">    underlying="PathGeometricAsianOption",</w:t>
        <w:br/>
        <w:t xml:space="preserve">    wrapper_order="Barrier on Lookback on underlying",</w:t>
        <w:br/>
        <w:t xml:space="preserve">    barrier="DoubleKnockOutBarrierContinuous",</w:t>
        <w:br/>
        <w:t xml:space="preserve">    lookback="LookbacksFloatingStrike",</w:t>
        <w:br/>
        <w:t xml:space="preserve">    up_barrier=120, down_barrier=85,</w:t>
        <w:br/>
        <w:t xml:space="preserve">    rebate_in=1, rebate_out=0,</w:t>
        <w:br/>
        <w:t xml:space="preserve">    S0=100, K=100, r=0.05, sigma=0.20, y=0, T=1,</w:t>
        <w:br/>
        <w:t xml:space="preserve">    M=8, N=2000, seed=0,</w:t>
        <w:br/>
        <w:t xml:space="preserve">    jumps=True, muJ=0.10, sigmaJ=0.10, Lambda=0.10,</w:t>
        <w:br/>
        <w:t xml:space="preserve">    beta=200.0</w:t>
        <w:br/>
        <w:t>)</w:t>
      </w:r>
    </w:p>
    <w:p>
      <w:pPr>
        <w:pStyle w:val="Heading2"/>
      </w:pPr>
      <w:r>
        <w:t>How to validate the result</w:t>
      </w:r>
    </w:p>
    <w:p>
      <w:pPr>
        <w:pStyle w:val="ListBullet"/>
      </w:pPr>
      <w:r>
        <w:t>Each result must be finite and non-negative.</w:t>
      </w:r>
    </w:p>
    <w:p>
      <w:pPr>
        <w:pStyle w:val="ListBullet"/>
      </w:pPr>
      <w:r>
        <w:t>config_echo.wrapper_order_requested, barrier and lookback_requested must match the request.</w:t>
      </w:r>
    </w:p>
    <w:p>
      <w:pPr>
        <w:pStyle w:val="ListBullet"/>
      </w:pPr>
      <w:r>
        <w:t>config_echo.stock_jumps_enabled must be True.</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BENCH_N_PATHS</w:t>
            </w:r>
          </w:p>
        </w:tc>
        <w:tc>
          <w:tcPr>
            <w:tcW w:type="dxa" w:w="5083"/>
            <w:vAlign w:val="top"/>
          </w:tcPr>
          <w:p>
            <w:r>
              <w:rPr>
                <w:sz w:val="15"/>
              </w:rPr>
              <w:t>2000</w:t>
            </w:r>
          </w:p>
        </w:tc>
      </w:tr>
      <w:tr>
        <w:tc>
          <w:tcPr>
            <w:tcW w:type="dxa" w:w="5083"/>
            <w:vAlign w:val="top"/>
          </w:tcPr>
          <w:p>
            <w:r>
              <w:rPr>
                <w:sz w:val="15"/>
              </w:rPr>
              <w:t>BENCH_N_STEPS</w:t>
            </w:r>
          </w:p>
        </w:tc>
        <w:tc>
          <w:tcPr>
            <w:tcW w:type="dxa" w:w="5083"/>
            <w:vAlign w:val="top"/>
          </w:tcPr>
          <w:p>
            <w:r>
              <w:rPr>
                <w:sz w:val="15"/>
              </w:rPr>
              <w:t>8</w:t>
            </w:r>
          </w:p>
        </w:tc>
      </w:tr>
      <w:tr>
        <w:tc>
          <w:tcPr>
            <w:tcW w:type="dxa" w:w="5083"/>
            <w:vAlign w:val="top"/>
          </w:tcPr>
          <w:p>
            <w:r>
              <w:rPr>
                <w:sz w:val="15"/>
              </w:rPr>
              <w:t>BENCH_LAMBDA</w:t>
            </w:r>
          </w:p>
        </w:tc>
        <w:tc>
          <w:tcPr>
            <w:tcW w:type="dxa" w:w="5083"/>
            <w:vAlign w:val="top"/>
          </w:tcPr>
          <w:p>
            <w:r>
              <w:rPr>
                <w:sz w:val="15"/>
              </w:rPr>
              <w:t>0.1</w:t>
            </w:r>
          </w:p>
        </w:tc>
      </w:tr>
      <w:tr>
        <w:tc>
          <w:tcPr>
            <w:tcW w:type="dxa" w:w="5083"/>
            <w:vAlign w:val="top"/>
          </w:tcPr>
          <w:p>
            <w:r>
              <w:rPr>
                <w:sz w:val="15"/>
              </w:rPr>
              <w:t>BENCH_BETA</w:t>
            </w:r>
          </w:p>
        </w:tc>
        <w:tc>
          <w:tcPr>
            <w:tcW w:type="dxa" w:w="5083"/>
            <w:vAlign w:val="top"/>
          </w:tcPr>
          <w:p>
            <w:r>
              <w:rPr>
                <w:sz w:val="15"/>
              </w:rPr>
              <w:t>200</w:t>
            </w:r>
          </w:p>
        </w:tc>
      </w:tr>
      <w:tr>
        <w:tc>
          <w:tcPr>
            <w:tcW w:type="dxa" w:w="5083"/>
            <w:vAlign w:val="top"/>
          </w:tcPr>
          <w:p>
            <w:r>
              <w:rPr>
                <w:sz w:val="15"/>
              </w:rPr>
              <w:t>BENCH_MAX_CASES</w:t>
            </w:r>
          </w:p>
        </w:tc>
        <w:tc>
          <w:tcPr>
            <w:tcW w:type="dxa" w:w="5083"/>
            <w:vAlign w:val="top"/>
          </w:tcPr>
          <w:p>
            <w:r>
              <w:rPr>
                <w:sz w:val="15"/>
              </w:rPr>
              <w:t>0 = all 384 cases</w:t>
            </w:r>
          </w:p>
        </w:tc>
      </w:tr>
    </w:tbl>
    <w:p>
      <w:pPr>
        <w:pStyle w:val="Heading2"/>
      </w:pPr>
      <w:r>
        <w:t>Run the benchmark</w:t>
      </w:r>
    </w:p>
    <w:p>
      <w:pPr>
        <w:spacing w:after="60"/>
        <w:ind w:left="216" w:right="72"/>
        <w:shd w:fill="F3F4F6"/>
      </w:pPr>
      <w:r>
        <w:rPr>
          <w:rFonts w:ascii="Consolas" w:hAnsi="Consolas" w:eastAsia="Consolas"/>
          <w:sz w:val="16"/>
        </w:rPr>
        <w:t>python -m pytest -q -v "BenchmarkNestedLookbackBarrierJumps_API_ONLY_FLAT(1).py"</w:t>
      </w:r>
    </w:p>
    <w:p>
      <w:r>
        <w:br w:type="page"/>
      </w:r>
    </w:p>
    <w:p>
      <w:pPr>
        <w:pStyle w:val="Heading1"/>
      </w:pPr>
      <w:r>
        <w:t>Chapter 62. Full Native Nested Lookback-Barrier Validation</w:t>
      </w:r>
    </w:p>
    <w:p>
      <w:r>
        <w:t>This chapter combines exact composition identities, Asian nested contracts and native European/Bermudan/American exercise ordering in one complete tutorial.</w:t>
      </w:r>
    </w:p>
    <w:p>
      <w:pPr>
        <w:pStyle w:val="Heading2"/>
      </w:pPr>
      <w:r>
        <w:t>What this tutorial teaches</w:t>
      </w:r>
    </w:p>
    <w:p>
      <w:pPr>
        <w:pStyle w:val="ListBullet"/>
      </w:pPr>
      <w:r>
        <w:t>Validate wide-barrier identity for all four fixed/floating call/put lookbacks.</w:t>
      </w:r>
    </w:p>
    <w:p>
      <w:pPr>
        <w:pStyle w:val="ListBullet"/>
      </w:pPr>
      <w:r>
        <w:t>Validate double in/out parity when the barrier wraps the lookback.</w:t>
      </w:r>
    </w:p>
    <w:p>
      <w:pPr>
        <w:pStyle w:val="ListBullet"/>
      </w:pPr>
      <w:r>
        <w:t>Validate nested compositions over arithmetic- and geometric-Asian underlyings.</w:t>
      </w:r>
    </w:p>
    <w:p>
      <w:pPr>
        <w:pStyle w:val="ListBullet"/>
      </w:pPr>
      <w:r>
        <w:t>Compare European, native Bermudan and native American fixed-strike lookbacks for vanilla and arithmetic-Asian underlyings.</w:t>
      </w:r>
    </w:p>
    <w:p>
      <w:pPr>
        <w:pStyle w:val="Heading2"/>
      </w:pPr>
      <w:r>
        <w:t>Barrier levels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D9EAF7"/>
            <w:vAlign w:val="center"/>
          </w:tcPr>
          <w:p>
            <w:r>
              <w:rPr>
                <w:b/>
                <w:sz w:val="16"/>
              </w:rPr>
              <w:t>Underlying family</w:t>
            </w:r>
          </w:p>
        </w:tc>
        <w:tc>
          <w:tcPr>
            <w:tcW w:type="dxa" w:w="3389"/>
            <w:shd w:fill="D9EAF7"/>
            <w:vAlign w:val="center"/>
          </w:tcPr>
          <w:p>
            <w:r>
              <w:rPr>
                <w:b/>
                <w:sz w:val="16"/>
              </w:rPr>
              <w:t>Up</w:t>
            </w:r>
          </w:p>
        </w:tc>
        <w:tc>
          <w:tcPr>
            <w:tcW w:type="dxa" w:w="3389"/>
            <w:shd w:fill="D9EAF7"/>
            <w:vAlign w:val="center"/>
          </w:tcPr>
          <w:p>
            <w:r>
              <w:rPr>
                <w:b/>
                <w:sz w:val="16"/>
              </w:rPr>
              <w:t>Down</w:t>
            </w:r>
          </w:p>
        </w:tc>
      </w:tr>
      <w:tr>
        <w:tc>
          <w:tcPr>
            <w:tcW w:type="dxa" w:w="3389"/>
            <w:vAlign w:val="top"/>
          </w:tcPr>
          <w:p>
            <w:r>
              <w:rPr>
                <w:sz w:val="15"/>
              </w:rPr>
              <w:t>PathIndependentOption</w:t>
            </w:r>
          </w:p>
        </w:tc>
        <w:tc>
          <w:tcPr>
            <w:tcW w:type="dxa" w:w="3389"/>
            <w:vAlign w:val="top"/>
          </w:tcPr>
          <w:p>
            <w:r>
              <w:rPr>
                <w:sz w:val="15"/>
              </w:rPr>
              <w:t>115</w:t>
            </w:r>
          </w:p>
        </w:tc>
        <w:tc>
          <w:tcPr>
            <w:tcW w:type="dxa" w:w="3389"/>
            <w:vAlign w:val="top"/>
          </w:tcPr>
          <w:p>
            <w:r>
              <w:rPr>
                <w:sz w:val="15"/>
              </w:rPr>
              <w:t>85</w:t>
            </w:r>
          </w:p>
        </w:tc>
      </w:tr>
      <w:tr>
        <w:tc>
          <w:tcPr>
            <w:tcW w:type="dxa" w:w="3389"/>
            <w:vAlign w:val="top"/>
          </w:tcPr>
          <w:p>
            <w:r>
              <w:rPr>
                <w:sz w:val="15"/>
              </w:rPr>
              <w:t>Asian underlying</w:t>
            </w:r>
          </w:p>
        </w:tc>
        <w:tc>
          <w:tcPr>
            <w:tcW w:type="dxa" w:w="3389"/>
            <w:vAlign w:val="top"/>
          </w:tcPr>
          <w:p>
            <w:r>
              <w:rPr>
                <w:sz w:val="15"/>
              </w:rPr>
              <w:t>108</w:t>
            </w:r>
          </w:p>
        </w:tc>
        <w:tc>
          <w:tcPr>
            <w:tcW w:type="dxa" w:w="3389"/>
            <w:vAlign w:val="top"/>
          </w:tcPr>
          <w:p>
            <w:r>
              <w:rPr>
                <w:sz w:val="15"/>
              </w:rPr>
              <w:t>94</w:t>
            </w:r>
          </w:p>
        </w:tc>
      </w:tr>
    </w:tbl>
    <w:p>
      <w:pPr>
        <w:pStyle w:val="Heading2"/>
      </w:pPr>
      <w:r>
        <w:t>Core flat API pattern</w:t>
      </w:r>
    </w:p>
    <w:p>
      <w:pPr>
        <w:spacing w:after="60"/>
        <w:ind w:left="216" w:right="72"/>
        <w:shd w:fill="F3F4F6"/>
      </w:pPr>
      <w:r>
        <w:rPr>
          <w:rFonts w:ascii="Consolas" w:hAnsi="Consolas" w:eastAsia="Consolas"/>
          <w:sz w:val="15"/>
        </w:rPr>
        <w:t>bermudan = price(</w:t>
        <w:br/>
        <w:t xml:space="preserve">    "LookbackBermudaOptionFixedStrike", "Call",</w:t>
        <w:br/>
        <w:t xml:space="preserve">    underlying="PathArithmeticAsianOption",</w:t>
        <w:br/>
        <w:t xml:space="preserve">    wrapper_order="Barrier on Lookback on underlying",</w:t>
        <w:br/>
        <w:t xml:space="preserve">    barrier="DoubleKnockOutBarrier",</w:t>
        <w:br/>
        <w:t xml:space="preserve">    lookback="LookbacksFixedStrike",</w:t>
        <w:br/>
        <w:t xml:space="preserve">    up_barrier=108.0, down_barrier=94.0,</w:t>
        <w:br/>
        <w:t xml:space="preserve">    S0=100, K=100, r=0.10, sigma=0.30, y=0, T=0.20,</w:t>
        <w:br/>
        <w:t xml:space="preserve">    M=50, N=200000, seed=0,</w:t>
        <w:br/>
        <w:t xml:space="preserve">    regression_degree=3,</w:t>
        <w:br/>
        <w:t xml:space="preserve">    num_exercise_points=10</w:t>
        <w:br/>
        <w:t>)</w:t>
      </w:r>
    </w:p>
    <w:p>
      <w:pPr>
        <w:pStyle w:val="Heading2"/>
      </w:pPr>
      <w:r>
        <w:t>How to validate the result</w:t>
      </w:r>
    </w:p>
    <w:p>
      <w:pPr>
        <w:pStyle w:val="ListBullet"/>
      </w:pPr>
      <w:r>
        <w:t>Wide-barrier and in/out identities are evaluated using either hard equality or combined Monte Carlo tolerance as specified by the benchmark.</w:t>
      </w:r>
    </w:p>
    <w:p>
      <w:pPr>
        <w:pStyle w:val="ListBullet"/>
      </w:pPr>
      <w:r>
        <w:t>Use tighter Asian barriers (108/94) than raw-stock barriers (115/85).</w:t>
      </w:r>
    </w:p>
    <w:p>
      <w:pPr>
        <w:pStyle w:val="ListBullet"/>
      </w:pPr>
      <w:r>
        <w:t>Check European &lt;= Bermudan &lt;= American within a tolerance that combines relative slack and Monte Carlo error.</w:t>
      </w:r>
    </w:p>
    <w:p>
      <w:pPr>
        <w:pStyle w:val="Heading2"/>
      </w:pPr>
      <w:r>
        <w:t>Environment controls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D9EAF7"/>
            <w:vAlign w:val="center"/>
          </w:tcPr>
          <w:p>
            <w:r>
              <w:rPr>
                <w:b/>
                <w:sz w:val="16"/>
              </w:rPr>
              <w:t>Variable</w:t>
            </w:r>
          </w:p>
        </w:tc>
        <w:tc>
          <w:tcPr>
            <w:tcW w:type="dxa" w:w="5083"/>
            <w:shd w:fill="D9EAF7"/>
            <w:vAlign w:val="center"/>
          </w:tcPr>
          <w:p>
            <w:r>
              <w:rPr>
                <w:b/>
                <w:sz w:val="16"/>
              </w:rPr>
              <w:t>Purpose / default</w:t>
            </w:r>
          </w:p>
        </w:tc>
      </w:tr>
      <w:tr>
        <w:tc>
          <w:tcPr>
            <w:tcW w:type="dxa" w:w="5083"/>
            <w:vAlign w:val="top"/>
          </w:tcPr>
          <w:p>
            <w:r>
              <w:rPr>
                <w:sz w:val="15"/>
              </w:rPr>
              <w:t>BENCH_N_STEPS</w:t>
            </w:r>
          </w:p>
        </w:tc>
        <w:tc>
          <w:tcPr>
            <w:tcW w:type="dxa" w:w="5083"/>
            <w:vAlign w:val="top"/>
          </w:tcPr>
          <w:p>
            <w:r>
              <w:rPr>
                <w:sz w:val="15"/>
              </w:rPr>
              <w:t>50</w:t>
            </w:r>
          </w:p>
        </w:tc>
      </w:tr>
      <w:tr>
        <w:tc>
          <w:tcPr>
            <w:tcW w:type="dxa" w:w="5083"/>
            <w:vAlign w:val="top"/>
          </w:tcPr>
          <w:p>
            <w:r>
              <w:rPr>
                <w:sz w:val="15"/>
              </w:rPr>
              <w:t>BENCH_N_PATHS</w:t>
            </w:r>
          </w:p>
        </w:tc>
        <w:tc>
          <w:tcPr>
            <w:tcW w:type="dxa" w:w="5083"/>
            <w:vAlign w:val="top"/>
          </w:tcPr>
          <w:p>
            <w:r>
              <w:rPr>
                <w:sz w:val="15"/>
              </w:rPr>
              <w:t>200000</w:t>
            </w:r>
          </w:p>
        </w:tc>
      </w:tr>
      <w:tr>
        <w:tc>
          <w:tcPr>
            <w:tcW w:type="dxa" w:w="5083"/>
            <w:vAlign w:val="top"/>
          </w:tcPr>
          <w:p>
            <w:r>
              <w:rPr>
                <w:sz w:val="15"/>
              </w:rPr>
              <w:t>BENCH_SEED</w:t>
            </w:r>
          </w:p>
        </w:tc>
        <w:tc>
          <w:tcPr>
            <w:tcW w:type="dxa" w:w="5083"/>
            <w:vAlign w:val="top"/>
          </w:tcPr>
          <w:p>
            <w:r>
              <w:rPr>
                <w:sz w:val="15"/>
              </w:rPr>
              <w:t>0</w:t>
            </w:r>
          </w:p>
        </w:tc>
      </w:tr>
      <w:tr>
        <w:tc>
          <w:tcPr>
            <w:tcW w:type="dxa" w:w="5083"/>
            <w:vAlign w:val="top"/>
          </w:tcPr>
          <w:p>
            <w:r>
              <w:rPr>
                <w:sz w:val="15"/>
              </w:rPr>
              <w:t>BENCH_TOL_SE</w:t>
            </w:r>
          </w:p>
        </w:tc>
        <w:tc>
          <w:tcPr>
            <w:tcW w:type="dxa" w:w="5083"/>
            <w:vAlign w:val="top"/>
          </w:tcPr>
          <w:p>
            <w:r>
              <w:rPr>
                <w:sz w:val="15"/>
              </w:rPr>
              <w:t>4.0</w:t>
            </w:r>
          </w:p>
        </w:tc>
      </w:tr>
      <w:tr>
        <w:tc>
          <w:tcPr>
            <w:tcW w:type="dxa" w:w="5083"/>
            <w:vAlign w:val="top"/>
          </w:tcPr>
          <w:p>
            <w:r>
              <w:rPr>
                <w:sz w:val="15"/>
              </w:rPr>
              <w:t>BENCH_REG_DEGREE</w:t>
            </w:r>
          </w:p>
        </w:tc>
        <w:tc>
          <w:tcPr>
            <w:tcW w:type="dxa" w:w="5083"/>
            <w:vAlign w:val="top"/>
          </w:tcPr>
          <w:p>
            <w:r>
              <w:rPr>
                <w:sz w:val="15"/>
              </w:rPr>
              <w:t>3</w:t>
            </w:r>
          </w:p>
        </w:tc>
      </w:tr>
    </w:tbl>
    <w:p>
      <w:pPr>
        <w:pStyle w:val="Heading2"/>
      </w:pPr>
      <w:r>
        <w:t>Run the benchmark</w:t>
      </w:r>
    </w:p>
    <w:p>
      <w:pPr>
        <w:spacing w:after="60"/>
        <w:ind w:left="216" w:right="72"/>
        <w:shd w:fill="F3F4F6"/>
      </w:pPr>
      <w:r>
        <w:rPr>
          <w:rFonts w:ascii="Consolas" w:hAnsi="Consolas" w:eastAsia="Consolas"/>
          <w:sz w:val="16"/>
        </w:rPr>
        <w:t>python -m pytest -q -v "BenchmarkNestedLookbackBarrier_FULL_API_ONLY_FLAT_NATIVE(1).py"</w:t>
      </w:r>
    </w:p>
    <w:p>
      <w:r>
        <w:br w:type="page"/>
      </w:r>
    </w:p>
    <w:p>
      <w:pPr>
        <w:pStyle w:val="Heading1"/>
      </w:pPr>
      <w:r>
        <w:t>Chapter 63. Running the New Benchmark Extension</w:t>
      </w:r>
    </w:p>
    <w:p>
      <w:r>
        <w:t>Run the ten modules individually while developing, then run them as one extension suite.</w:t>
      </w:r>
    </w:p>
    <w:p>
      <w:pPr>
        <w:pStyle w:val="Heading2"/>
      </w:pPr>
      <w:r>
        <w:t>Individual commands</w:t>
      </w:r>
    </w:p>
    <w:p>
      <w:pPr>
        <w:spacing w:after="60"/>
        <w:ind w:left="216" w:right="72"/>
        <w:shd w:fill="F3F4F6"/>
      </w:pPr>
      <w:r>
        <w:rPr>
          <w:rFonts w:ascii="Consolas" w:hAnsi="Consolas" w:eastAsia="Consolas"/>
          <w:sz w:val="16"/>
        </w:rPr>
        <w:t>python -m pytest -q -v "BenchmarkHoLeeExtendedCIR_API_ONLY_FLAT(1).py"</w:t>
      </w:r>
    </w:p>
    <w:p>
      <w:pPr>
        <w:spacing w:after="60"/>
        <w:ind w:left="216" w:right="72"/>
        <w:shd w:fill="F3F4F6"/>
      </w:pPr>
      <w:r>
        <w:rPr>
          <w:rFonts w:ascii="Consolas" w:hAnsi="Consolas" w:eastAsia="Consolas"/>
          <w:sz w:val="16"/>
        </w:rPr>
        <w:t>python -m pytest -q -v "BenchmarkNestedLookbackBarrier_API_ONLY_FLAT_NATIVE(1).py"</w:t>
      </w:r>
    </w:p>
    <w:p>
      <w:pPr>
        <w:spacing w:after="60"/>
        <w:ind w:left="216" w:right="72"/>
        <w:shd w:fill="F3F4F6"/>
      </w:pPr>
      <w:r>
        <w:rPr>
          <w:rFonts w:ascii="Consolas" w:hAnsi="Consolas" w:eastAsia="Consolas"/>
          <w:sz w:val="16"/>
        </w:rPr>
        <w:t>python -m pytest -q -v "BenchmarkBarrierJumps_API_ONLY_FLAT(1).py"</w:t>
      </w:r>
    </w:p>
    <w:p>
      <w:pPr>
        <w:spacing w:after="60"/>
        <w:ind w:left="216" w:right="72"/>
        <w:shd w:fill="F3F4F6"/>
      </w:pPr>
      <w:r>
        <w:rPr>
          <w:rFonts w:ascii="Consolas" w:hAnsi="Consolas" w:eastAsia="Consolas"/>
          <w:sz w:val="16"/>
        </w:rPr>
        <w:t>python -m pytest -q -v "BenchmarkEuropeanBarrierBGK_API_ONLY_FLAT(1).py"</w:t>
      </w:r>
    </w:p>
    <w:p>
      <w:pPr>
        <w:spacing w:after="60"/>
        <w:ind w:left="216" w:right="72"/>
        <w:shd w:fill="F3F4F6"/>
      </w:pPr>
      <w:r>
        <w:rPr>
          <w:rFonts w:ascii="Consolas" w:hAnsi="Consolas" w:eastAsia="Consolas"/>
          <w:sz w:val="16"/>
        </w:rPr>
        <w:t>python -m pytest -q -v "BenchmarkMertonJumps_API_ONLY_FLAT(1).py"</w:t>
      </w:r>
    </w:p>
    <w:p>
      <w:pPr>
        <w:spacing w:after="60"/>
        <w:ind w:left="216" w:right="72"/>
        <w:shd w:fill="F3F4F6"/>
      </w:pPr>
      <w:r>
        <w:rPr>
          <w:rFonts w:ascii="Consolas" w:hAnsi="Consolas" w:eastAsia="Consolas"/>
          <w:sz w:val="16"/>
        </w:rPr>
        <w:t>python -m pytest -q -v "BenchmarkEuropeanLookbackGSG_API_ONLY_FLAT(1).py"</w:t>
      </w:r>
    </w:p>
    <w:p>
      <w:pPr>
        <w:spacing w:after="60"/>
        <w:ind w:left="216" w:right="72"/>
        <w:shd w:fill="F3F4F6"/>
      </w:pPr>
      <w:r>
        <w:rPr>
          <w:rFonts w:ascii="Consolas" w:hAnsi="Consolas" w:eastAsia="Consolas"/>
          <w:sz w:val="16"/>
        </w:rPr>
        <w:t>python -m pytest -q -v "BenchmarkJumps_API_ONLY_FLAT(1).py"</w:t>
      </w:r>
    </w:p>
    <w:p>
      <w:pPr>
        <w:spacing w:after="60"/>
        <w:ind w:left="216" w:right="72"/>
        <w:shd w:fill="F3F4F6"/>
      </w:pPr>
      <w:r>
        <w:rPr>
          <w:rFonts w:ascii="Consolas" w:hAnsi="Consolas" w:eastAsia="Consolas"/>
          <w:sz w:val="16"/>
        </w:rPr>
        <w:t>python -m pytest -q -v "BenchmarkLookbackJumps_API_ONLY_FLAT(1).py"</w:t>
      </w:r>
    </w:p>
    <w:p>
      <w:pPr>
        <w:spacing w:after="60"/>
        <w:ind w:left="216" w:right="72"/>
        <w:shd w:fill="F3F4F6"/>
      </w:pPr>
      <w:r>
        <w:rPr>
          <w:rFonts w:ascii="Consolas" w:hAnsi="Consolas" w:eastAsia="Consolas"/>
          <w:sz w:val="16"/>
        </w:rPr>
        <w:t>python -m pytest -q -v "BenchmarkNestedLookbackBarrierJumps_API_ONLY_FLAT(1).py"</w:t>
      </w:r>
    </w:p>
    <w:p>
      <w:pPr>
        <w:spacing w:after="60"/>
        <w:ind w:left="216" w:right="72"/>
        <w:shd w:fill="F3F4F6"/>
      </w:pPr>
      <w:r>
        <w:rPr>
          <w:rFonts w:ascii="Consolas" w:hAnsi="Consolas" w:eastAsia="Consolas"/>
          <w:sz w:val="16"/>
        </w:rPr>
        <w:t>python -m pytest -q -v "BenchmarkNestedLookbackBarrier_FULL_API_ONLY_FLAT_NATIVE(1).py"</w:t>
      </w:r>
    </w:p>
    <w:p>
      <w:pPr>
        <w:pStyle w:val="Heading2"/>
      </w:pPr>
      <w:r>
        <w:t>Combined command</w:t>
      </w:r>
    </w:p>
    <w:p>
      <w:pPr>
        <w:spacing w:after="60"/>
        <w:ind w:left="216" w:right="72"/>
        <w:shd w:fill="F3F4F6"/>
      </w:pPr>
      <w:r>
        <w:rPr>
          <w:rFonts w:ascii="Consolas" w:hAnsi="Consolas" w:eastAsia="Consolas"/>
          <w:sz w:val="14"/>
        </w:rPr>
        <w:t>python -m pytest -q -v "BenchmarkHoLeeExtendedCIR_API_ONLY_FLAT(1).py" "BenchmarkNestedLookbackBarrier_API_ONLY_FLAT_NATIVE(1).py" "BenchmarkBarrierJumps_API_ONLY_FLAT(1).py" "BenchmarkEuropeanBarrierBGK_API_ONLY_FLAT(1).py" "BenchmarkMertonJumps_API_ONLY_FLAT(1).py" "BenchmarkEuropeanLookbackGSG_API_ONLY_FLAT(1).py" "BenchmarkJumps_API_ONLY_FLAT(1).py" "BenchmarkLookbackJumps_API_ONLY_FLAT(1).py" "BenchmarkNestedLookbackBarrierJumps_API_ONLY_FLAT(1).py" "BenchmarkNestedLookbackBarrier_FULL_API_ONLY_FLAT_NATIVE(1).py"</w:t>
      </w:r>
    </w:p>
    <w:p>
      <w:pPr>
        <w:pStyle w:val="Heading2"/>
      </w:pPr>
      <w:r>
        <w:t>Fast smoke-test profile</w:t>
      </w:r>
    </w:p>
    <w:p>
      <w:pPr>
        <w:spacing w:after="60"/>
        <w:ind w:left="216" w:right="72"/>
        <w:shd w:fill="F3F4F6"/>
      </w:pPr>
      <w:r>
        <w:rPr>
          <w:rFonts w:ascii="Consolas" w:hAnsi="Consolas" w:eastAsia="Consolas"/>
          <w:sz w:val="15"/>
        </w:rPr>
        <w:t>set BENCH_MAX_CASES=12</w:t>
        <w:br/>
        <w:t>set BENCH_N_PATHS=2000</w:t>
        <w:br/>
        <w:t>set BENCH_N_STEPS=8</w:t>
        <w:br/>
        <w:t>python -m pytest -q -v "BenchmarkJumps_API_ONLY_FLAT(1).py" "BenchmarkBarrierJumps_API_ONLY_FLAT(1).py" "BenchmarkLookbackJumps_API_ONLY_FLAT(1).py" "BenchmarkNestedLookbackBarrierJumps_API_ONLY_FLAT(1).py"</w:t>
      </w:r>
    </w:p>
    <w:p>
      <w:r>
        <w:br w:type="page"/>
      </w:r>
    </w:p>
    <w:p>
      <w:pPr>
        <w:pStyle w:val="Heading1"/>
      </w:pPr>
      <w:r>
        <w:t>Appendix E. Complete Source Listings for Chapters 53-62</w:t>
      </w:r>
    </w:p>
    <w:p>
      <w:r>
        <w:t>The following listings reproduce the complete supplied flat benchmark modules. They are included so every test cell, assertion, environment variable and API call remains available inside the guide.</w:t>
      </w:r>
    </w:p>
    <w:p>
      <w:r>
        <w:br w:type="page"/>
      </w:r>
    </w:p>
    <w:p>
      <w:pPr>
        <w:pStyle w:val="Heading2"/>
      </w:pPr>
      <w:r>
        <w:t>E.1 BenchmarkHoLeeExtendedCIR_API_ONLY_FLAT(1).py</w:t>
      </w:r>
    </w:p>
    <w:p>
      <w:pPr>
        <w:spacing w:after="60"/>
        <w:ind w:left="216" w:right="72"/>
        <w:shd w:fill="F3F4F6"/>
      </w:pPr>
      <w:r>
        <w:rPr>
          <w:rFonts w:ascii="Consolas" w:hAnsi="Consolas" w:eastAsia="Consolas"/>
          <w:sz w:val="13"/>
        </w:rPr>
        <w:t># -*- coding: utf-8 -*-</w:t>
        <w:br/>
        <w:t>"""Flat pytest validation of degenerate stochastic-rate limits."""</w:t>
        <w:br/>
        <w:br/>
        <w:t>import math</w:t>
        <w:br/>
        <w:t>import os</w:t>
        <w:br/>
        <w:br/>
        <w:t>import pytest</w:t>
        <w:br/>
        <w:br/>
        <w:t>from optipricepropandas import price</w:t>
        <w:br/>
        <w:br/>
        <w:br/>
        <w:t>S0 = float(os.getenv("BENCH_S0", "100.0"))</w:t>
        <w:br/>
        <w:t>K = float(os.getenv("BENCH_K", "100.0"))</w:t>
        <w:br/>
        <w:t>R = float(os.getenv("BENCH_R", "0.05"))</w:t>
        <w:br/>
        <w:t>SIGMA = float(os.getenv("BENCH_SIGMA", "0.20"))</w:t>
        <w:br/>
        <w:t>YIELD = float(os.getenv("BENCH_Y", "0.0"))</w:t>
        <w:br/>
        <w:t>T = float(os.getenv("BENCH_T", "1.0"))</w:t>
        <w:br/>
        <w:t>N = int(os.getenv("BENCH_N_PATHS", "200000"))</w:t>
        <w:br/>
        <w:t>M = int(os.getenv("BENCH_N_STEPS", "50"))</w:t>
        <w:br/>
        <w:t>SEED = int(os.getenv("BENCH_SEED", "0"))</w:t>
        <w:br/>
        <w:t>TOL_SE = float(os.getenv("BENCH_TOL_SE", "4.0"))</w:t>
        <w:br/>
        <w:t>ABS_FLOOR = float(os.getenv("BENCH_ABS_FLOOR", "0.01"))</w:t>
        <w:br/>
        <w:br/>
        <w:t>RATE_CASES = [</w:t>
        <w:br/>
        <w:t xml:space="preserve">    ("HoLee", "HoLee", 0.0, 0.0, R, [0.0] * (M + 1), [R] * (M + 1), [0.0] * (M + 1)),</w:t>
        <w:br/>
        <w:t xml:space="preserve">    ("Vasicek", "Vasicek", 0.0, 0.5, R, [0.0] * (M + 1), [R] * (M + 1), [0.0] * (M + 1)),</w:t>
        <w:br/>
        <w:t xml:space="preserve">    ("CIR", "CIR", 0.0, 0.5, R, [0.0] * (M + 1), [R] * (M + 1), [0.0] * (M + 1)),</w:t>
        <w:br/>
        <w:t xml:space="preserve">    ("ExtendedCIR_R2_R", "ExtendedCIR", 0.0, 0.5, R, [R * R] * (M + 1), [R] * (M + 1), [0.0] * (M + 1)),</w:t>
        <w:br/>
        <w:t xml:space="preserve">    ("ExtendedCIR_R_1", "ExtendedCIR", 0.0, 0.5, R, [R] * (M + 1), [1.0] * (M + 1), [0.0] * (M + 1)),</w:t>
        <w:br/>
        <w:t>]</w:t>
        <w:br/>
        <w:br/>
        <w:br/>
        <w:t>@pytest.mark.parametrize(</w:t>
        <w:br/>
        <w:t xml:space="preserve">    "label,rate_model,sigma_r,rate_a,rate_b,theta_t,b_t,sigma_t",</w:t>
        <w:br/>
        <w:t xml:space="preserve">    RATE_CASES,</w:t>
        <w:br/>
        <w:t>)</w:t>
        <w:br/>
        <w:t>def test_degenerate_rate_models_match_constant(</w:t>
        <w:br/>
        <w:t xml:space="preserve">    label,</w:t>
        <w:br/>
        <w:t xml:space="preserve">    rate_model,</w:t>
        <w:br/>
        <w:t xml:space="preserve">    sigma_r,</w:t>
        <w:br/>
        <w:t xml:space="preserve">    rate_a,</w:t>
        <w:br/>
        <w:t xml:space="preserve">    rate_b,</w:t>
        <w:br/>
        <w:t xml:space="preserve">    theta_t,</w:t>
        <w:br/>
        <w:t xml:space="preserve">    b_t,</w:t>
        <w:br/>
        <w:t xml:space="preserve">    sigma_t,</w:t>
      </w:r>
    </w:p>
    <w:p>
      <w:pPr>
        <w:spacing w:after="60"/>
        <w:ind w:left="216" w:right="72"/>
        <w:shd w:fill="F3F4F6"/>
      </w:pPr>
      <w:r>
        <w:rPr>
          <w:rFonts w:ascii="Consolas" w:hAnsi="Consolas" w:eastAsia="Consolas"/>
          <w:sz w:val="13"/>
        </w:rPr>
        <w:t>):</w:t>
        <w:br/>
        <w:t xml:space="preserve">    constant = price(</w:t>
        <w:br/>
        <w:t xml:space="preserve">        "European",</w:t>
        <w:br/>
        <w:t xml:space="preserve">        "Call",</w:t>
        <w:br/>
        <w:t xml:space="preserve">        underlying="PathIndependentOption",</w:t>
        <w:br/>
        <w:t xml:space="preserve">        wrapper_order="Underlying only",</w:t>
        <w:br/>
        <w:t xml:space="preserve">        S0=S0,</w:t>
        <w:br/>
        <w:t xml:space="preserve">        K=K,</w:t>
        <w:br/>
        <w:t xml:space="preserve">        r=R,</w:t>
        <w:br/>
        <w:t xml:space="preserve">        sigma=SIGMA,</w:t>
        <w:br/>
        <w:t xml:space="preserve">        y=YIELD,</w:t>
        <w:br/>
        <w:t xml:space="preserve">        T=T,</w:t>
        <w:br/>
        <w:t xml:space="preserve">        M=M,</w:t>
        <w:br/>
        <w:t xml:space="preserve">        N=N,</w:t>
        <w:br/>
        <w:t xml:space="preserve">        seed=SEED,</w:t>
        <w:br/>
        <w:t xml:space="preserve">        rate_model="Constant",</w:t>
        <w:br/>
        <w:t xml:space="preserve">        volatility_model="Constant",</w:t>
        <w:br/>
        <w:t xml:space="preserve">        dividend_model="Constant",</w:t>
        <w:br/>
        <w:t xml:space="preserve">        sentiment_model="Constant",</w:t>
        <w:br/>
        <w:t xml:space="preserve">        sentiment_vol_model="Constant",</w:t>
        <w:br/>
        <w:t xml:space="preserve">        jumps=False,</w:t>
        <w:br/>
        <w:t xml:space="preserve">        beta=None,</w:t>
        <w:br/>
        <w:t xml:space="preserve">        random_generator="Standard",</w:t>
        <w:br/>
        <w:t xml:space="preserve">        sampling="None",</w:t>
        <w:br/>
        <w:t xml:space="preserve">        wiener="Vanilla",</w:t>
        <w:br/>
        <w:t xml:space="preserve">        greeks=False,</w:t>
        <w:br/>
        <w:t xml:space="preserve">        retained_variables=False,</w:t>
        <w:br/>
        <w:t xml:space="preserve">    )</w:t>
        <w:br/>
        <w:br/>
        <w:t xml:space="preserve">    stochastic = price(</w:t>
        <w:br/>
        <w:t xml:space="preserve">        "European",</w:t>
        <w:br/>
        <w:t xml:space="preserve">        "Call",</w:t>
        <w:br/>
        <w:t xml:space="preserve">        underlying="PathIndependentOption",</w:t>
        <w:br/>
        <w:t xml:space="preserve">        wrapper_order="Underlying only",</w:t>
        <w:br/>
        <w:t xml:space="preserve">        S0=S0,</w:t>
        <w:br/>
        <w:t xml:space="preserve">        K=K,</w:t>
        <w:br/>
        <w:t xml:space="preserve">        r=R,</w:t>
        <w:br/>
        <w:t xml:space="preserve">        sigma=SIGMA,</w:t>
        <w:br/>
        <w:t xml:space="preserve">        y=YIELD,</w:t>
        <w:br/>
        <w:t xml:space="preserve">        T=T,</w:t>
        <w:br/>
        <w:t xml:space="preserve">        M=M,</w:t>
        <w:br/>
        <w:t xml:space="preserve">        N=N,</w:t>
        <w:br/>
        <w:t xml:space="preserve">        seed=SEED,</w:t>
        <w:br/>
        <w:t xml:space="preserve">        rate_model=rate_model,</w:t>
        <w:br/>
        <w:t xml:space="preserve">        volatility_model="Constant",</w:t>
      </w:r>
    </w:p>
    <w:p>
      <w:pPr>
        <w:spacing w:after="60"/>
        <w:ind w:left="216" w:right="72"/>
        <w:shd w:fill="F3F4F6"/>
      </w:pPr>
      <w:r>
        <w:rPr>
          <w:rFonts w:ascii="Consolas" w:hAnsi="Consolas" w:eastAsia="Consolas"/>
          <w:sz w:val="13"/>
        </w:rPr>
        <w:t xml:space="preserve">        dividend_model="Constant",</w:t>
        <w:br/>
        <w:t xml:space="preserve">        sentiment_model="Constant",</w:t>
        <w:br/>
        <w:t xml:space="preserve">        sentiment_vol_model="Constant",</w:t>
        <w:br/>
        <w:t xml:space="preserve">        sigma_R=sigma_r,</w:t>
        <w:br/>
        <w:t xml:space="preserve">        rate_a=rate_a,</w:t>
        <w:br/>
        <w:t xml:space="preserve">        rate_b=rate_b,</w:t>
        <w:br/>
        <w:t xml:space="preserve">        theta_t=theta_t,</w:t>
        <w:br/>
        <w:t xml:space="preserve">        b_t=b_t,</w:t>
        <w:br/>
        <w:t xml:space="preserve">        sigma_t=sigma_t,</w:t>
        <w:br/>
        <w:t xml:space="preserve">        correlation2=[[1.0, 0.0], [0.0, 1.0]],</w:t>
        <w:br/>
        <w:t xml:space="preserve">        jumps=False,</w:t>
        <w:br/>
        <w:t xml:space="preserve">        beta=None,</w:t>
        <w:br/>
        <w:t xml:space="preserve">        random_generator="Standard",</w:t>
        <w:br/>
        <w:t xml:space="preserve">        sampling="None",</w:t>
        <w:br/>
        <w:t xml:space="preserve">        wiener="Vanilla",</w:t>
        <w:br/>
        <w:t xml:space="preserve">        greeks=False,</w:t>
        <w:br/>
        <w:t xml:space="preserve">        retained_variables=False,</w:t>
        <w:br/>
        <w:t xml:space="preserve">    )</w:t>
        <w:br/>
        <w:br/>
        <w:t xml:space="preserve">    c_value = float(constant["price"])</w:t>
        <w:br/>
        <w:t xml:space="preserve">    c_error = float(constant["std_error"] or 0.0)</w:t>
        <w:br/>
        <w:t xml:space="preserve">    s_value = float(stochastic["price"])</w:t>
        <w:br/>
        <w:t xml:space="preserve">    s_error = float(stochastic["std_error"] or 0.0)</w:t>
        <w:br/>
        <w:br/>
        <w:t xml:space="preserve">    assert math.isfinite(c_value)</w:t>
        <w:br/>
        <w:t xml:space="preserve">    assert math.isfinite(s_value)</w:t>
        <w:br/>
        <w:t xml:space="preserve">    assert c_error &gt;= 0.0</w:t>
        <w:br/>
        <w:t xml:space="preserve">    assert s_error &gt;= 0.0</w:t>
        <w:br/>
        <w:br/>
        <w:t xml:space="preserve">    tolerance = (</w:t>
        <w:br/>
        <w:t xml:space="preserve">        TOL_SE * math.sqrt(c_error ** 2 + s_error ** 2)</w:t>
        <w:br/>
        <w:t xml:space="preserve">        + ABS_FLOOR</w:t>
        <w:br/>
        <w:t xml:space="preserve">    )</w:t>
        <w:br/>
        <w:t xml:space="preserve">    assert abs(s_value - c_value) &lt;= tolerance</w:t>
        <w:br/>
        <w:br/>
        <w:t xml:space="preserve">    config = stochastic.get("config_echo", {})</w:t>
        <w:br/>
        <w:t xml:space="preserve">    expected = {</w:t>
        <w:br/>
        <w:t xml:space="preserve">        "HoLee": "HoLeeRate",</w:t>
        <w:br/>
        <w:t xml:space="preserve">        "Vasicek": "VasicekRate",</w:t>
        <w:br/>
        <w:t xml:space="preserve">        "CIR": "CoxIngersollRoss",</w:t>
        <w:br/>
        <w:t xml:space="preserve">        "ExtendedCIR": "ExtendedCIR",</w:t>
        <w:br/>
        <w:t xml:space="preserve">    }[rate_model]</w:t>
        <w:br/>
        <w:t xml:space="preserve">    assert expected.lower() in str(</w:t>
        <w:br/>
        <w:t xml:space="preserve">        config.get("rate_model", "")</w:t>
        <w:br/>
        <w:t xml:space="preserve">    ).lower()</w:t>
      </w:r>
    </w:p>
    <w:p>
      <w:r>
        <w:br w:type="page"/>
      </w:r>
    </w:p>
    <w:p>
      <w:pPr>
        <w:pStyle w:val="Heading2"/>
      </w:pPr>
      <w:r>
        <w:t>E.2 BenchmarkNestedLookbackBarrier_API_ONLY_FLAT_NATIVE(1).py</w:t>
      </w:r>
    </w:p>
    <w:p>
      <w:pPr>
        <w:spacing w:after="60"/>
        <w:ind w:left="216" w:right="72"/>
        <w:shd w:fill="F3F4F6"/>
      </w:pPr>
      <w:r>
        <w:rPr>
          <w:rFonts w:ascii="Consolas" w:hAnsi="Consolas" w:eastAsia="Consolas"/>
          <w:sz w:val="13"/>
        </w:rPr>
        <w:t># -*- coding: utf-8 -*-</w:t>
        <w:br/>
        <w:t>"""Flat nested lookback/barrier parity and exercise tests."""</w:t>
        <w:br/>
        <w:br/>
        <w:t>import math</w:t>
        <w:br/>
        <w:t>import os</w:t>
        <w:br/>
        <w:br/>
        <w:t>import pytest</w:t>
        <w:br/>
        <w:br/>
        <w:t>from optipricepropandas import price</w:t>
        <w:br/>
        <w:br/>
        <w:br/>
        <w:t>S0 = 100.0</w:t>
        <w:br/>
        <w:t>K = 100.0</w:t>
        <w:br/>
        <w:t>R = 0.10</w:t>
        <w:br/>
        <w:t>SIGMA = 0.30</w:t>
        <w:br/>
        <w:t>T = 0.20</w:t>
        <w:br/>
        <w:t>UP = 115.0</w:t>
        <w:br/>
        <w:t>DOWN = 85.0</w:t>
        <w:br/>
        <w:br/>
        <w:t>M = int(os.getenv("BENCH_N_STEPS", "50"))</w:t>
        <w:br/>
        <w:t>N = int(os.getenv("BENCH_N_PATHS", "200000"))</w:t>
        <w:br/>
        <w:t>SEED = int(os.getenv("BENCH_SEED", "0"))</w:t>
        <w:br/>
        <w:t>TOL = float(os.getenv("BENCH_TOL_SE", "4.0"))</w:t>
        <w:br/>
        <w:t>DEG = int(os.getenv("BENCH_REG_DEGREE", "3"))</w:t>
        <w:br/>
        <w:br/>
        <w:t>CONTRACTS = [</w:t>
        <w:br/>
        <w:t xml:space="preserve">    ("LookbacksFixedStrike", "Call"),</w:t>
        <w:br/>
        <w:t xml:space="preserve">    ("LookbacksFixedStrike", "Put"),</w:t>
        <w:br/>
        <w:t xml:space="preserve">    ("LookbacksFloatingStrike", "Call"),</w:t>
        <w:br/>
        <w:t xml:space="preserve">    ("LookbacksFloatingStrike", "Put"),</w:t>
        <w:br/>
        <w:t>]</w:t>
        <w:br/>
        <w:br/>
        <w:br/>
        <w:t>@pytest.mark.parametrize("lookback,payoff", CONTRACTS)</w:t>
        <w:br/>
        <w:t>def test_wide_double_knockout_identity(lookback, payoff):</w:t>
        <w:br/>
        <w:t xml:space="preserve">    plain = price(</w:t>
        <w:br/>
        <w:t xml:space="preserve">        "European",</w:t>
        <w:br/>
        <w:t xml:space="preserve">        payoff,</w:t>
        <w:br/>
        <w:t xml:space="preserve">        underlying="PathIndependentOption",</w:t>
        <w:br/>
        <w:t xml:space="preserve">        wrapper_order="Lookback on underlying",</w:t>
        <w:br/>
        <w:t xml:space="preserve">        lookback=lookback,</w:t>
        <w:br/>
        <w:t xml:space="preserve">        S0=S0, K=K, r=R, sigma=SIGMA, y=0.0, T=T,</w:t>
        <w:br/>
        <w:t xml:space="preserve">        M=M, N=N, seed=SEED,</w:t>
        <w:br/>
        <w:t xml:space="preserve">        greeks=False, retained_variables=False,</w:t>
        <w:br/>
        <w:t xml:space="preserve">    )</w:t>
      </w:r>
    </w:p>
    <w:p>
      <w:pPr>
        <w:spacing w:after="60"/>
        <w:ind w:left="216" w:right="72"/>
        <w:shd w:fill="F3F4F6"/>
      </w:pPr>
      <w:r>
        <w:rPr>
          <w:rFonts w:ascii="Consolas" w:hAnsi="Consolas" w:eastAsia="Consolas"/>
          <w:sz w:val="13"/>
        </w:rPr>
        <w:br/>
        <w:t xml:space="preserve">    composed = price(</w:t>
        <w:br/>
        <w:t xml:space="preserve">        "European",</w:t>
        <w:br/>
        <w:t xml:space="preserve">        payoff,</w:t>
        <w:br/>
        <w:t xml:space="preserve">        underlying="PathIndependentOption",</w:t>
        <w:br/>
        <w:t xml:space="preserve">        wrapper_order="Lookback on Barrier on underlying",</w:t>
        <w:br/>
        <w:t xml:space="preserve">        barrier="DoubleKnockOutBarrier",</w:t>
        <w:br/>
        <w:t xml:space="preserve">        lookback=lookback,</w:t>
        <w:br/>
        <w:t xml:space="preserve">        up_barrier=1.0e12,</w:t>
        <w:br/>
        <w:t xml:space="preserve">        down_barrier=0.0,</w:t>
        <w:br/>
        <w:t xml:space="preserve">        rebate_in=0.0,</w:t>
        <w:br/>
        <w:t xml:space="preserve">        rebate_out=0.0,</w:t>
        <w:br/>
        <w:t xml:space="preserve">        S0=S0, K=K, r=R, sigma=SIGMA, y=0.0, T=T,</w:t>
        <w:br/>
        <w:t xml:space="preserve">        M=M, N=N, seed=SEED,</w:t>
        <w:br/>
        <w:t xml:space="preserve">        greeks=False, retained_variables=False,</w:t>
        <w:br/>
        <w:t xml:space="preserve">    )</w:t>
        <w:br/>
        <w:br/>
        <w:t xml:space="preserve">    assert abs(</w:t>
        <w:br/>
        <w:t xml:space="preserve">        float(composed["price"]) - float(plain["price"])</w:t>
        <w:br/>
        <w:t xml:space="preserve">    ) &lt;= 1.0e-10</w:t>
        <w:br/>
        <w:br/>
        <w:br/>
        <w:t>@pytest.mark.parametrize("lookback,payoff", CONTRACTS)</w:t>
        <w:br/>
        <w:t>def test_lookback_on_double_barrier_in_out_parity(</w:t>
        <w:br/>
        <w:t xml:space="preserve">    lookback,</w:t>
        <w:br/>
        <w:t xml:space="preserve">    payoff,</w:t>
        <w:br/>
        <w:t>):</w:t>
        <w:br/>
        <w:t xml:space="preserve">    plain = price(</w:t>
        <w:br/>
        <w:t xml:space="preserve">        "European",</w:t>
        <w:br/>
        <w:t xml:space="preserve">        payoff,</w:t>
        <w:br/>
        <w:t xml:space="preserve">        underlying="PathIndependentOption",</w:t>
        <w:br/>
        <w:t xml:space="preserve">        wrapper_order="Lookback on underlying",</w:t>
        <w:br/>
        <w:t xml:space="preserve">        lookback=lookback,</w:t>
        <w:br/>
        <w:t xml:space="preserve">        S0=S0, K=K, r=R, sigma=SIGMA, y=0.0, T=T,</w:t>
        <w:br/>
        <w:t xml:space="preserve">        M=M, N=N, seed=SEED,</w:t>
        <w:br/>
        <w:t xml:space="preserve">        greeks=False, retained_variables=False,</w:t>
        <w:br/>
        <w:t xml:space="preserve">    )</w:t>
        <w:br/>
        <w:br/>
        <w:t xml:space="preserve">    dko = price(</w:t>
        <w:br/>
        <w:t xml:space="preserve">        "European",</w:t>
        <w:br/>
        <w:t xml:space="preserve">        payoff,</w:t>
        <w:br/>
        <w:t xml:space="preserve">        underlying="PathIndependentOption",</w:t>
        <w:br/>
        <w:t xml:space="preserve">        wrapper_order="Lookback on Barrier on underlying",</w:t>
        <w:br/>
        <w:t xml:space="preserve">        barrier="DoubleKnockOutBarrier",</w:t>
        <w:br/>
        <w:t xml:space="preserve">        lookback=lookback,</w:t>
      </w:r>
    </w:p>
    <w:p>
      <w:pPr>
        <w:spacing w:after="60"/>
        <w:ind w:left="216" w:right="72"/>
        <w:shd w:fill="F3F4F6"/>
      </w:pPr>
      <w:r>
        <w:rPr>
          <w:rFonts w:ascii="Consolas" w:hAnsi="Consolas" w:eastAsia="Consolas"/>
          <w:sz w:val="13"/>
        </w:rPr>
        <w:t xml:space="preserve">        up_barrier=UP,</w:t>
        <w:br/>
        <w:t xml:space="preserve">        down_barrier=DOWN,</w:t>
        <w:br/>
        <w:t xml:space="preserve">        rebate_in=0.0,</w:t>
        <w:br/>
        <w:t xml:space="preserve">        rebate_out=0.0,</w:t>
        <w:br/>
        <w:t xml:space="preserve">        S0=S0, K=K, r=R, sigma=SIGMA, y=0.0, T=T,</w:t>
        <w:br/>
        <w:t xml:space="preserve">        M=M, N=N, seed=SEED,</w:t>
        <w:br/>
        <w:t xml:space="preserve">        greeks=False, retained_variables=False,</w:t>
        <w:br/>
        <w:t xml:space="preserve">    )</w:t>
        <w:br/>
        <w:br/>
        <w:t xml:space="preserve">    dki = price(</w:t>
        <w:br/>
        <w:t xml:space="preserve">        "European",</w:t>
        <w:br/>
        <w:t xml:space="preserve">        payoff,</w:t>
        <w:br/>
        <w:t xml:space="preserve">        underlying="PathIndependentOption",</w:t>
        <w:br/>
        <w:t xml:space="preserve">        wrapper_order="Lookback on Barrier on underlying",</w:t>
        <w:br/>
        <w:t xml:space="preserve">        barrier="DoubleKnockInBarrier",</w:t>
        <w:br/>
        <w:t xml:space="preserve">        lookback=lookback,</w:t>
        <w:br/>
        <w:t xml:space="preserve">        up_barrier=UP,</w:t>
        <w:br/>
        <w:t xml:space="preserve">        down_barrier=DOWN,</w:t>
        <w:br/>
        <w:t xml:space="preserve">        rebate_in=0.0,</w:t>
        <w:br/>
        <w:t xml:space="preserve">        rebate_out=0.0,</w:t>
        <w:br/>
        <w:t xml:space="preserve">        S0=S0, K=K, r=R, sigma=SIGMA, y=0.0, T=T,</w:t>
        <w:br/>
        <w:t xml:space="preserve">        M=M, N=N, seed=SEED,</w:t>
        <w:br/>
        <w:t xml:space="preserve">        greeks=False, retained_variables=False,</w:t>
        <w:br/>
        <w:t xml:space="preserve">    )</w:t>
        <w:br/>
        <w:br/>
        <w:t xml:space="preserve">    assert abs(</w:t>
        <w:br/>
        <w:t xml:space="preserve">        float(dko["price"])</w:t>
        <w:br/>
        <w:t xml:space="preserve">        + float(dki["price"])</w:t>
        <w:br/>
        <w:t xml:space="preserve">        - float(plain["price"])</w:t>
        <w:br/>
        <w:t xml:space="preserve">    ) &lt;= 1.0e-10</w:t>
        <w:br/>
        <w:br/>
        <w:br/>
        <w:t>def test_barrier_on_lookback_up_in_out_parity():</w:t>
        <w:br/>
        <w:t xml:space="preserve">    plain = price(</w:t>
        <w:br/>
        <w:t xml:space="preserve">        "European",</w:t>
        <w:br/>
        <w:t xml:space="preserve">        "Call",</w:t>
        <w:br/>
        <w:t xml:space="preserve">        underlying="PathIndependentOption",</w:t>
        <w:br/>
        <w:t xml:space="preserve">        wrapper_order="Lookback on underlying",</w:t>
        <w:br/>
        <w:t xml:space="preserve">        lookback="LookbacksFixedStrike",</w:t>
        <w:br/>
        <w:t xml:space="preserve">        S0=S0, K=K, r=R, sigma=SIGMA, y=0.0, T=T,</w:t>
        <w:br/>
        <w:t xml:space="preserve">        M=M, N=N, seed=SEED,</w:t>
        <w:br/>
        <w:t xml:space="preserve">        greeks=False, retained_variables=False,</w:t>
        <w:br/>
        <w:t xml:space="preserve">    )</w:t>
        <w:br/>
        <w:br/>
        <w:t xml:space="preserve">    up_out = price(</w:t>
      </w:r>
    </w:p>
    <w:p>
      <w:pPr>
        <w:spacing w:after="60"/>
        <w:ind w:left="216" w:right="72"/>
        <w:shd w:fill="F3F4F6"/>
      </w:pPr>
      <w:r>
        <w:rPr>
          <w:rFonts w:ascii="Consolas" w:hAnsi="Consolas" w:eastAsia="Consolas"/>
          <w:sz w:val="13"/>
        </w:rPr>
        <w:t xml:space="preserve">        "European",</w:t>
        <w:br/>
        <w:t xml:space="preserve">        "Call",</w:t>
        <w:br/>
        <w:t xml:space="preserve">        underlying="PathIndependentOption",</w:t>
        <w:br/>
        <w:t xml:space="preserve">        wrapper_order="Barrier on Lookback on underlying",</w:t>
        <w:br/>
        <w:t xml:space="preserve">        barrier="UpAndOutBarrier",</w:t>
        <w:br/>
        <w:t xml:space="preserve">        lookback="LookbacksFixedStrike",</w:t>
        <w:br/>
        <w:t xml:space="preserve">        up_barrier=UP,</w:t>
        <w:br/>
        <w:t xml:space="preserve">        down_barrier=0.0,</w:t>
        <w:br/>
        <w:t xml:space="preserve">        rebate_in=0.0,</w:t>
        <w:br/>
        <w:t xml:space="preserve">        rebate_out=0.0,</w:t>
        <w:br/>
        <w:t xml:space="preserve">        S0=S0, K=K, r=R, sigma=SIGMA, y=0.0, T=T,</w:t>
        <w:br/>
        <w:t xml:space="preserve">        M=M, N=N, seed=SEED,</w:t>
        <w:br/>
        <w:t xml:space="preserve">        greeks=False, retained_variables=False,</w:t>
        <w:br/>
        <w:t xml:space="preserve">    )</w:t>
        <w:br/>
        <w:br/>
        <w:t xml:space="preserve">    up_in = price(</w:t>
        <w:br/>
        <w:t xml:space="preserve">        "European",</w:t>
        <w:br/>
        <w:t xml:space="preserve">        "Call",</w:t>
        <w:br/>
        <w:t xml:space="preserve">        underlying="PathIndependentOption",</w:t>
        <w:br/>
        <w:t xml:space="preserve">        wrapper_order="Barrier on Lookback on underlying",</w:t>
        <w:br/>
        <w:t xml:space="preserve">        barrier="UpAndInBarrier",</w:t>
        <w:br/>
        <w:t xml:space="preserve">        lookback="LookbacksFixedStrike",</w:t>
        <w:br/>
        <w:t xml:space="preserve">        up_barrier=UP,</w:t>
        <w:br/>
        <w:t xml:space="preserve">        down_barrier=0.0,</w:t>
        <w:br/>
        <w:t xml:space="preserve">        rebate_in=0.0,</w:t>
        <w:br/>
        <w:t xml:space="preserve">        rebate_out=0.0,</w:t>
        <w:br/>
        <w:t xml:space="preserve">        S0=S0, K=K, r=R, sigma=SIGMA, y=0.0, T=T,</w:t>
        <w:br/>
        <w:t xml:space="preserve">        M=M, N=N, seed=SEED,</w:t>
        <w:br/>
        <w:t xml:space="preserve">        greeks=False, retained_variables=False,</w:t>
        <w:br/>
        <w:t xml:space="preserve">    )</w:t>
        <w:br/>
        <w:br/>
        <w:t xml:space="preserve">    assert abs(</w:t>
        <w:br/>
        <w:t xml:space="preserve">        float(up_out["price"])</w:t>
        <w:br/>
        <w:t xml:space="preserve">        + float(up_in["price"])</w:t>
        <w:br/>
        <w:t xml:space="preserve">        - float(plain["price"])</w:t>
        <w:br/>
        <w:t xml:space="preserve">    ) &lt;= 1.0e-10</w:t>
        <w:br/>
        <w:br/>
        <w:br/>
        <w:t>def test_native_fixed_lookback_exercise_ordering():</w:t>
        <w:br/>
        <w:t xml:space="preserve">    european = price(</w:t>
        <w:br/>
        <w:t xml:space="preserve">        "European",</w:t>
        <w:br/>
        <w:t xml:space="preserve">        "Call",</w:t>
        <w:br/>
        <w:t xml:space="preserve">        underlying="PathIndependentOption",</w:t>
        <w:br/>
        <w:t xml:space="preserve">        wrapper_order="Lookback on Barrier on underlying",</w:t>
        <w:br/>
        <w:t xml:space="preserve">        barrier="DoubleKnockOutBarrier",</w:t>
      </w:r>
    </w:p>
    <w:p>
      <w:pPr>
        <w:spacing w:after="60"/>
        <w:ind w:left="216" w:right="72"/>
        <w:shd w:fill="F3F4F6"/>
      </w:pPr>
      <w:r>
        <w:rPr>
          <w:rFonts w:ascii="Consolas" w:hAnsi="Consolas" w:eastAsia="Consolas"/>
          <w:sz w:val="13"/>
        </w:rPr>
        <w:t xml:space="preserve">        lookback="LookbacksFixedStrike",</w:t>
        <w:br/>
        <w:t xml:space="preserve">        up_barrier=UP,</w:t>
        <w:br/>
        <w:t xml:space="preserve">        down_barrier=DOWN,</w:t>
        <w:br/>
        <w:t xml:space="preserve">        S0=S0, K=K, r=R, sigma=SIGMA, y=0.0, T=T,</w:t>
        <w:br/>
        <w:t xml:space="preserve">        M=M, N=N, seed=SEED,</w:t>
        <w:br/>
        <w:t xml:space="preserve">        regression_degree=DEG,</w:t>
        <w:br/>
        <w:t xml:space="preserve">        greeks=False, retained_variables=False,</w:t>
        <w:br/>
        <w:t xml:space="preserve">    )</w:t>
        <w:br/>
        <w:br/>
        <w:t xml:space="preserve">    bermudan = price(</w:t>
        <w:br/>
        <w:t xml:space="preserve">        "LookbackBermudaOptionFixedStrike",</w:t>
        <w:br/>
        <w:t xml:space="preserve">        "Call",</w:t>
        <w:br/>
        <w:t xml:space="preserve">        underlying="PathIndependentOption",</w:t>
        <w:br/>
        <w:t xml:space="preserve">        wrapper_order="Lookback on Barrier on underlying",</w:t>
        <w:br/>
        <w:t xml:space="preserve">        barrier="DoubleKnockOutBarrier",</w:t>
        <w:br/>
        <w:t xml:space="preserve">        lookback="LookbacksFixedStrike",</w:t>
        <w:br/>
        <w:t xml:space="preserve">        up_barrier=UP,</w:t>
        <w:br/>
        <w:t xml:space="preserve">        down_barrier=DOWN,</w:t>
        <w:br/>
        <w:t xml:space="preserve">        S0=S0, K=K, r=R, sigma=SIGMA, y=0.0, T=T,</w:t>
        <w:br/>
        <w:t xml:space="preserve">        M=M, N=N, seed=SEED,</w:t>
        <w:br/>
        <w:t xml:space="preserve">        regression_degree=DEG,</w:t>
        <w:br/>
        <w:t xml:space="preserve">        num_exercise_points=min(10, M),</w:t>
        <w:br/>
        <w:t xml:space="preserve">        greeks=False, retained_variables=False,</w:t>
        <w:br/>
        <w:t xml:space="preserve">    )</w:t>
        <w:br/>
        <w:br/>
        <w:t xml:space="preserve">    american = price(</w:t>
        <w:br/>
        <w:t xml:space="preserve">        "LookBackAmericanOptionFixedStrike",</w:t>
        <w:br/>
        <w:t xml:space="preserve">        "Call",</w:t>
        <w:br/>
        <w:t xml:space="preserve">        underlying="PathIndependentOption",</w:t>
        <w:br/>
        <w:t xml:space="preserve">        wrapper_order="Lookback on Barrier on underlying",</w:t>
        <w:br/>
        <w:t xml:space="preserve">        barrier="DoubleKnockOutBarrier",</w:t>
        <w:br/>
        <w:t xml:space="preserve">        lookback="LookbacksFixedStrike",</w:t>
        <w:br/>
        <w:t xml:space="preserve">        up_barrier=UP,</w:t>
        <w:br/>
        <w:t xml:space="preserve">        down_barrier=DOWN,</w:t>
        <w:br/>
        <w:t xml:space="preserve">        S0=S0, K=K, r=R, sigma=SIGMA, y=0.0, T=T,</w:t>
        <w:br/>
        <w:t xml:space="preserve">        M=M, N=N, seed=SEED,</w:t>
        <w:br/>
        <w:t xml:space="preserve">        regression_degree=DEG,</w:t>
        <w:br/>
        <w:t xml:space="preserve">        num_exercise_points=M,</w:t>
        <w:br/>
        <w:t xml:space="preserve">        greeks=False, retained_variables=False,</w:t>
        <w:br/>
        <w:t xml:space="preserve">    )</w:t>
        <w:br/>
        <w:br/>
        <w:t xml:space="preserve">    e = float(european["price"])</w:t>
        <w:br/>
        <w:t xml:space="preserve">    b = float(bermudan["price"])</w:t>
        <w:br/>
        <w:t xml:space="preserve">    a = float(american["price"])</w:t>
        <w:br/>
        <w:t xml:space="preserve">    se = float(european["std_error"] or 0.0)</w:t>
      </w:r>
    </w:p>
    <w:p>
      <w:pPr>
        <w:spacing w:after="60"/>
        <w:ind w:left="216" w:right="72"/>
        <w:shd w:fill="F3F4F6"/>
      </w:pPr>
      <w:r>
        <w:rPr>
          <w:rFonts w:ascii="Consolas" w:hAnsi="Consolas" w:eastAsia="Consolas"/>
          <w:sz w:val="13"/>
        </w:rPr>
        <w:t xml:space="preserve">    sb = float(bermudan["std_error"] or 0.0)</w:t>
        <w:br/>
        <w:t xml:space="preserve">    sa = float(american["std_error"] or 0.0)</w:t>
        <w:br/>
        <w:br/>
        <w:t xml:space="preserve">    assert b &gt;= e - max(</w:t>
        <w:br/>
        <w:t xml:space="preserve">        0.015 * max(abs(e), 1.0),</w:t>
        <w:br/>
        <w:t xml:space="preserve">        TOL * math.sqrt(se ** 2 + sb ** 2),</w:t>
        <w:br/>
        <w:t xml:space="preserve">    )</w:t>
        <w:br/>
        <w:t xml:space="preserve">    assert a &gt;= b - max(</w:t>
        <w:br/>
        <w:t xml:space="preserve">        0.015 * max(abs(b), 1.0),</w:t>
        <w:br/>
        <w:t xml:space="preserve">        TOL * math.sqrt(sb ** 2 + sa ** 2),</w:t>
        <w:br/>
        <w:t xml:space="preserve">    )</w:t>
      </w:r>
    </w:p>
    <w:p>
      <w:r>
        <w:br w:type="page"/>
      </w:r>
    </w:p>
    <w:p>
      <w:pPr>
        <w:pStyle w:val="Heading2"/>
      </w:pPr>
      <w:r>
        <w:t>E.3 BenchmarkBarrierJumps_API_ONLY_FLAT(1).py</w:t>
      </w:r>
    </w:p>
    <w:p>
      <w:pPr>
        <w:spacing w:after="60"/>
        <w:ind w:left="216" w:right="72"/>
        <w:shd w:fill="F3F4F6"/>
      </w:pPr>
      <w:r>
        <w:rPr>
          <w:rFonts w:ascii="Consolas" w:hAnsi="Consolas" w:eastAsia="Consolas"/>
          <w:sz w:val="13"/>
        </w:rPr>
        <w:t># -*- coding: utf-8 -*-</w:t>
        <w:br/>
        <w:t>"""Flat European barrier × stock-jump tests."""</w:t>
        <w:br/>
        <w:br/>
        <w:t>import math</w:t>
        <w:br/>
        <w:t>import os</w:t>
        <w:br/>
        <w:br/>
        <w:t>import pytest</w:t>
        <w:br/>
        <w:br/>
        <w:t>from optipricepropandas import price</w:t>
        <w:br/>
        <w:br/>
        <w:br/>
        <w:t>N = int(os.getenv("BENCH_N_PATHS", "8000"))</w:t>
        <w:br/>
        <w:t>M = int(os.getenv("BENCH_N_STEPS", "16"))</w:t>
        <w:br/>
        <w:t>T = float(os.getenv("BENCH_T", "1.0"))</w:t>
        <w:br/>
        <w:t>S0 = float(os.getenv("BENCH_S0", "100.0"))</w:t>
        <w:br/>
        <w:t>K = float(os.getenv("BENCH_K", "100.0"))</w:t>
        <w:br/>
        <w:t>R = float(os.getenv("BENCH_R", "0.05"))</w:t>
        <w:br/>
        <w:t>SIGMA = float(os.getenv("BENCH_SIGMA", "0.20"))</w:t>
        <w:br/>
        <w:t>SEED = int(os.getenv("BENCH_SEED", "0"))</w:t>
        <w:br/>
        <w:t>UP = float(os.getenv("BENCH_UP_BARRIER", "120.0"))</w:t>
        <w:br/>
        <w:t>DOWN = float(os.getenv("BENCH_DOWN_BARRIER", "85.0"))</w:t>
        <w:br/>
        <w:t>RIN = float(os.getenv("BENCH_REBATE_IN", "1.0"))</w:t>
        <w:br/>
        <w:t>ROUT = float(os.getenv("BENCH_REBATE_OUT", "0.0"))</w:t>
        <w:br/>
        <w:t>MUJ = float(os.getenv("BENCH_MUJ", "0.0"))</w:t>
        <w:br/>
        <w:t>SIGJ = float(os.getenv("BENCH_SIGMAJ", "0.1"))</w:t>
        <w:br/>
        <w:t>LAM = float(os.getenv("BENCH_LAMBDA", "0.5"))</w:t>
        <w:br/>
        <w:t>PAYOFF = os.getenv("BENCH_PAYOFF", "Call")</w:t>
        <w:br/>
        <w:t>MAX_CASES = int(os.getenv("BENCH_MAX_CASES", "0"))</w:t>
        <w:br/>
        <w:br/>
        <w:t>BARRIERS = [</w:t>
        <w:br/>
        <w:t xml:space="preserve">    "DownAndInBarrier",</w:t>
        <w:br/>
        <w:t xml:space="preserve">    "DownAndOutBarrier",</w:t>
        <w:br/>
        <w:t xml:space="preserve">    "UpAndInBarrier",</w:t>
        <w:br/>
        <w:t xml:space="preserve">    "UpAndOutBarrier",</w:t>
        <w:br/>
        <w:t xml:space="preserve">    "DoubleKnockInBarrier",</w:t>
        <w:br/>
        <w:t xml:space="preserve">    "DoubleKnockOutBarrier",</w:t>
        <w:br/>
        <w:t xml:space="preserve">    "UpKnockInDownKnockOutBarrier",</w:t>
        <w:br/>
        <w:t xml:space="preserve">    "UpKnockOutDownKnockInBarrier",</w:t>
        <w:br/>
        <w:t>]</w:t>
        <w:br/>
        <w:t>UNDERLYINGS = [</w:t>
        <w:br/>
        <w:t xml:space="preserve">    "PathIndependentOption",</w:t>
        <w:br/>
        <w:t xml:space="preserve">    "PathArithmeticAsianOption",</w:t>
        <w:br/>
        <w:t xml:space="preserve">    "PathGeometricAsianOption",</w:t>
        <w:br/>
        <w:t>]</w:t>
        <w:br/>
        <w:t>CONFIGS = [</w:t>
      </w:r>
    </w:p>
    <w:p>
      <w:pPr>
        <w:spacing w:after="60"/>
        <w:ind w:left="216" w:right="72"/>
        <w:shd w:fill="F3F4F6"/>
      </w:pPr>
      <w:r>
        <w:rPr>
          <w:rFonts w:ascii="Consolas" w:hAnsi="Consolas" w:eastAsia="Consolas"/>
          <w:sz w:val="13"/>
        </w:rPr>
        <w:t xml:space="preserve">    ("Constant", "Constant", "Constant"),</w:t>
        <w:br/>
        <w:t xml:space="preserve">    ("Constant", "Heston", "Constant"),</w:t>
        <w:br/>
        <w:t xml:space="preserve">    ("Vasicek", "Constant", "Constant"),</w:t>
        <w:br/>
        <w:t xml:space="preserve">    ("Vasicek", "Heston", "Constant"),</w:t>
        <w:br/>
        <w:t xml:space="preserve">    ("Constant", "Constant", "Stochastic"),</w:t>
        <w:br/>
        <w:t xml:space="preserve">    ("Constant", "Heston", "Stochastic"),</w:t>
        <w:br/>
        <w:t xml:space="preserve">    ("Vasicek", "Heston", "Stochastic"),</w:t>
        <w:br/>
        <w:t>]</w:t>
        <w:br/>
        <w:br/>
        <w:t>CASES = [</w:t>
        <w:br/>
        <w:t xml:space="preserve">    (barrier, underlying, rate_model, vol_model, sent_model)</w:t>
        <w:br/>
        <w:t xml:space="preserve">    for barrier in BARRIERS</w:t>
        <w:br/>
        <w:t xml:space="preserve">    for underlying in UNDERLYINGS</w:t>
        <w:br/>
        <w:t xml:space="preserve">    for rate_model, vol_model, sent_model in CONFIGS</w:t>
        <w:br/>
        <w:t>]</w:t>
        <w:br/>
        <w:t>if MAX_CASES &gt; 0:</w:t>
        <w:br/>
        <w:t xml:space="preserve">    CASES = CASES[:MAX_CASES]</w:t>
        <w:br/>
        <w:br/>
        <w:br/>
        <w:t>@pytest.mark.parametrize(</w:t>
        <w:br/>
        <w:t xml:space="preserve">    "barrier,underlying,rate_model,volatility_model,sentiment_model",</w:t>
        <w:br/>
        <w:t xml:space="preserve">    CASES,</w:t>
        <w:br/>
        <w:t>)</w:t>
        <w:br/>
        <w:t>def test_barrier_jump_catalogue_flat(</w:t>
        <w:br/>
        <w:t xml:space="preserve">    barrier,</w:t>
        <w:br/>
        <w:t xml:space="preserve">    underlying,</w:t>
        <w:br/>
        <w:t xml:space="preserve">    rate_model,</w:t>
        <w:br/>
        <w:t xml:space="preserve">    volatility_model,</w:t>
        <w:br/>
        <w:t xml:space="preserve">    sentiment_model,</w:t>
        <w:br/>
        <w:t>):</w:t>
        <w:br/>
        <w:t xml:space="preserve">    result = price(</w:t>
        <w:br/>
        <w:t xml:space="preserve">        "European",</w:t>
        <w:br/>
        <w:t xml:space="preserve">        PAYOFF,</w:t>
        <w:br/>
        <w:t xml:space="preserve">        underlying=underlying,</w:t>
        <w:br/>
        <w:t xml:space="preserve">        wrapper_order="Barrier on underlying",</w:t>
        <w:br/>
        <w:t xml:space="preserve">        barrier=barrier,</w:t>
        <w:br/>
        <w:t xml:space="preserve">        up_barrier=UP,</w:t>
        <w:br/>
        <w:t xml:space="preserve">        down_barrier=DOWN,</w:t>
        <w:br/>
        <w:t xml:space="preserve">        rebate_in=RIN,</w:t>
        <w:br/>
        <w:t xml:space="preserve">        rebate_out=ROUT,</w:t>
        <w:br/>
        <w:t xml:space="preserve">        S0=S0,</w:t>
        <w:br/>
        <w:t xml:space="preserve">        K=K,</w:t>
        <w:br/>
        <w:t xml:space="preserve">        r=R,</w:t>
        <w:br/>
        <w:t xml:space="preserve">        sigma=SIGMA,</w:t>
        <w:br/>
        <w:t xml:space="preserve">        y=0.0,</w:t>
      </w:r>
    </w:p>
    <w:p>
      <w:pPr>
        <w:spacing w:after="60"/>
        <w:ind w:left="216" w:right="72"/>
        <w:shd w:fill="F3F4F6"/>
      </w:pPr>
      <w:r>
        <w:rPr>
          <w:rFonts w:ascii="Consolas" w:hAnsi="Consolas" w:eastAsia="Consolas"/>
          <w:sz w:val="13"/>
        </w:rPr>
        <w:t xml:space="preserve">        T=T,</w:t>
        <w:br/>
        <w:t xml:space="preserve">        M=M,</w:t>
        <w:br/>
        <w:t xml:space="preserve">        N=N,</w:t>
        <w:br/>
        <w:t xml:space="preserve">        seed=SEED,</w:t>
        <w:br/>
        <w:t xml:space="preserve">        jumps=True,</w:t>
        <w:br/>
        <w:t xml:space="preserve">        muJ=MUJ,</w:t>
        <w:br/>
        <w:t xml:space="preserve">        sigmaJ=SIGJ,</w:t>
        <w:br/>
        <w:t xml:space="preserve">        Lambda=LAM,</w:t>
        <w:br/>
        <w:t xml:space="preserve">        rate_model=rate_model,</w:t>
        <w:br/>
        <w:t xml:space="preserve">        volatility_model=volatility_model,</w:t>
        <w:br/>
        <w:t xml:space="preserve">        dividend_model="Constant",</w:t>
        <w:br/>
        <w:t xml:space="preserve">        sentiment_model=sentiment_model,</w:t>
        <w:br/>
        <w:t xml:space="preserve">        sentiment_vol_model="Constant",</w:t>
        <w:br/>
        <w:t xml:space="preserve">        sigma_R=0.01,</w:t>
        <w:br/>
        <w:t xml:space="preserve">        rate_a=0.50,</w:t>
        <w:br/>
        <w:t xml:space="preserve">        rate_b=R,</w:t>
        <w:br/>
        <w:t xml:space="preserve">        gamma=0.30,</w:t>
        <w:br/>
        <w:t xml:space="preserve">        kappa=1.50,</w:t>
        <w:br/>
        <w:t xml:space="preserve">        theta=SIGMA * SIGMA,</w:t>
        <w:br/>
        <w:t xml:space="preserve">        sentiment0=1.0,</w:t>
        <w:br/>
        <w:t xml:space="preserve">        mu_sent=0.05,</w:t>
        <w:br/>
        <w:t xml:space="preserve">        sigma_sent=0.20,</w:t>
        <w:br/>
        <w:t xml:space="preserve">        correlation2=[[1.0, 0.0], [0.0, 1.0]],</w:t>
        <w:br/>
        <w:t xml:space="preserve">        correlation3=[</w:t>
        <w:br/>
        <w:t xml:space="preserve">            [1.0, 0.0, 0.0],</w:t>
        <w:br/>
        <w:t xml:space="preserve">            [0.0, 1.0, 0.0],</w:t>
        <w:br/>
        <w:t xml:space="preserve">            [0.0, 0.0, 1.0],</w:t>
        <w:br/>
        <w:t xml:space="preserve">        ],</w:t>
        <w:br/>
        <w:t xml:space="preserve">        greeks=False,</w:t>
        <w:br/>
        <w:t xml:space="preserve">        retained_variables=False,</w:t>
        <w:br/>
        <w:t xml:space="preserve">    )</w:t>
        <w:br/>
        <w:br/>
        <w:t xml:space="preserve">    assert math.isfinite(float(result["price"]))</w:t>
        <w:br/>
        <w:t xml:space="preserve">    assert float(result["std_error"] or 0.0) &gt;= 0.0</w:t>
        <w:br/>
        <w:t xml:space="preserve">    config = result.get("config_echo", {})</w:t>
        <w:br/>
        <w:t xml:space="preserve">    assert config.get("barrier") == barrier</w:t>
        <w:br/>
        <w:t xml:space="preserve">    assert config.get("stock_jumps_enabled") is True</w:t>
      </w:r>
    </w:p>
    <w:p>
      <w:r>
        <w:br w:type="page"/>
      </w:r>
    </w:p>
    <w:p>
      <w:pPr>
        <w:pStyle w:val="Heading2"/>
      </w:pPr>
      <w:r>
        <w:t>E.4 BenchmarkEuropeanBarrierBGK_API_ONLY_FLAT(1).py</w:t>
      </w:r>
    </w:p>
    <w:p>
      <w:pPr>
        <w:spacing w:after="60"/>
        <w:ind w:left="216" w:right="72"/>
        <w:shd w:fill="F3F4F6"/>
      </w:pPr>
      <w:r>
        <w:rPr>
          <w:rFonts w:ascii="Consolas" w:hAnsi="Consolas" w:eastAsia="Consolas"/>
          <w:sz w:val="13"/>
        </w:rPr>
        <w:t># -*- coding: utf-8 -*-</w:t>
        <w:br/>
        <w:t>"""Flat BGK Table 2.1 discrete down-barrier tests."""</w:t>
        <w:br/>
        <w:br/>
        <w:t>import math</w:t>
        <w:br/>
        <w:t>import os</w:t>
        <w:br/>
        <w:br/>
        <w:t>import pytest</w:t>
        <w:br/>
        <w:br/>
        <w:t>from optipricepropandas import price</w:t>
        <w:br/>
        <w:br/>
        <w:br/>
        <w:t>M = int(os.getenv("BENCH_N_STEPS", "50"))</w:t>
        <w:br/>
        <w:t>N = int(os.getenv("BENCH_N_PATHS", "200000"))</w:t>
        <w:br/>
        <w:t>SEED = int(os.getenv("BENCH_SEED", "0"))</w:t>
        <w:br/>
        <w:t>TOL = float(os.getenv("BENCH_TOL_SE", "4.0"))</w:t>
        <w:br/>
        <w:br/>
        <w:t>BGK = {</w:t>
        <w:br/>
        <w:t xml:space="preserve">    85: 6.322,</w:t>
        <w:br/>
        <w:t xml:space="preserve">    86: 6.306,</w:t>
        <w:br/>
        <w:t xml:space="preserve">    87: 6.281,</w:t>
        <w:br/>
        <w:t xml:space="preserve">    88: 6.242,</w:t>
        <w:br/>
        <w:t xml:space="preserve">    89: 6.184,</w:t>
        <w:br/>
        <w:t xml:space="preserve">    90: 6.098,</w:t>
        <w:br/>
        <w:t xml:space="preserve">    91: 5.977,</w:t>
        <w:br/>
        <w:t xml:space="preserve">    92: 5.810,</w:t>
        <w:br/>
        <w:t xml:space="preserve">    93: 5.584,</w:t>
        <w:br/>
        <w:t xml:space="preserve">    94: 5.288,</w:t>
        <w:br/>
        <w:t xml:space="preserve">    95: 4.907,</w:t>
        <w:br/>
        <w:t xml:space="preserve">    96: 4.427,</w:t>
        <w:br/>
        <w:t xml:space="preserve">    97: 3.834,</w:t>
        <w:br/>
        <w:t xml:space="preserve">    98: 3.126,</w:t>
        <w:br/>
        <w:t xml:space="preserve">    99: 2.337,</w:t>
        <w:br/>
        <w:t>}</w:t>
        <w:br/>
        <w:br/>
        <w:br/>
        <w:t>@pytest.mark.parametrize(</w:t>
        <w:br/>
        <w:t xml:space="preserve">    "barrier_level,reference",</w:t>
        <w:br/>
        <w:t xml:space="preserve">    sorted(BGK.items()),</w:t>
        <w:br/>
        <w:t>)</w:t>
        <w:br/>
        <w:t>def test_bgk_down_barrier_and_in_out_parity(</w:t>
        <w:br/>
        <w:t xml:space="preserve">    barrier_level,</w:t>
        <w:br/>
        <w:t xml:space="preserve">    reference,</w:t>
        <w:br/>
        <w:t>):</w:t>
        <w:br/>
        <w:t xml:space="preserve">    vanilla = price(</w:t>
        <w:br/>
        <w:t xml:space="preserve">        "European",</w:t>
      </w:r>
    </w:p>
    <w:p>
      <w:pPr>
        <w:spacing w:after="60"/>
        <w:ind w:left="216" w:right="72"/>
        <w:shd w:fill="F3F4F6"/>
      </w:pPr>
      <w:r>
        <w:rPr>
          <w:rFonts w:ascii="Consolas" w:hAnsi="Consolas" w:eastAsia="Consolas"/>
          <w:sz w:val="13"/>
        </w:rPr>
        <w:t xml:space="preserve">        "Call",</w:t>
        <w:br/>
        <w:t xml:space="preserve">        underlying="PathIndependentOption",</w:t>
        <w:br/>
        <w:t xml:space="preserve">        wrapper_order="Underlying only",</w:t>
        <w:br/>
        <w:t xml:space="preserve">        S0=100.0,</w:t>
        <w:br/>
        <w:t xml:space="preserve">        K=100.0,</w:t>
        <w:br/>
        <w:t xml:space="preserve">        r=0.10,</w:t>
        <w:br/>
        <w:t xml:space="preserve">        sigma=0.30,</w:t>
        <w:br/>
        <w:t xml:space="preserve">        y=0.0,</w:t>
        <w:br/>
        <w:t xml:space="preserve">        T=0.20,</w:t>
        <w:br/>
        <w:t xml:space="preserve">        M=M,</w:t>
        <w:br/>
        <w:t xml:space="preserve">        N=N,</w:t>
        <w:br/>
        <w:t xml:space="preserve">        seed=SEED,</w:t>
        <w:br/>
        <w:t xml:space="preserve">        greeks=False,</w:t>
        <w:br/>
        <w:t xml:space="preserve">        retained_variables=False,</w:t>
        <w:br/>
        <w:t xml:space="preserve">    )</w:t>
        <w:br/>
        <w:br/>
        <w:t xml:space="preserve">    down_out = price(</w:t>
        <w:br/>
        <w:t xml:space="preserve">        "European",</w:t>
        <w:br/>
        <w:t xml:space="preserve">        "Call",</w:t>
        <w:br/>
        <w:t xml:space="preserve">        underlying="PathIndependentOption",</w:t>
        <w:br/>
        <w:t xml:space="preserve">        wrapper_order="Barrier on underlying",</w:t>
        <w:br/>
        <w:t xml:space="preserve">        barrier="DownAndOutBarrier",</w:t>
        <w:br/>
        <w:t xml:space="preserve">        up_barrier=1.0e12,</w:t>
        <w:br/>
        <w:t xml:space="preserve">        down_barrier=float(barrier_level),</w:t>
        <w:br/>
        <w:t xml:space="preserve">        rebate_in=1.0,</w:t>
        <w:br/>
        <w:t xml:space="preserve">        rebate_out=0.0,</w:t>
        <w:br/>
        <w:t xml:space="preserve">        S0=100.0,</w:t>
        <w:br/>
        <w:t xml:space="preserve">        K=100.0,</w:t>
        <w:br/>
        <w:t xml:space="preserve">        r=0.10,</w:t>
        <w:br/>
        <w:t xml:space="preserve">        sigma=0.30,</w:t>
        <w:br/>
        <w:t xml:space="preserve">        y=0.0,</w:t>
        <w:br/>
        <w:t xml:space="preserve">        T=0.20,</w:t>
        <w:br/>
        <w:t xml:space="preserve">        M=M,</w:t>
        <w:br/>
        <w:t xml:space="preserve">        N=N,</w:t>
        <w:br/>
        <w:t xml:space="preserve">        seed=SEED,</w:t>
        <w:br/>
        <w:t xml:space="preserve">        greeks=False,</w:t>
        <w:br/>
        <w:t xml:space="preserve">        retained_variables=False,</w:t>
        <w:br/>
        <w:t xml:space="preserve">    )</w:t>
        <w:br/>
        <w:br/>
        <w:t xml:space="preserve">    down_in = price(</w:t>
        <w:br/>
        <w:t xml:space="preserve">        "European",</w:t>
        <w:br/>
        <w:t xml:space="preserve">        "Call",</w:t>
        <w:br/>
        <w:t xml:space="preserve">        underlying="PathIndependentOption",</w:t>
        <w:br/>
        <w:t xml:space="preserve">        wrapper_order="Barrier on underlying",</w:t>
        <w:br/>
        <w:t xml:space="preserve">        barrier="DownAndInBarrier",</w:t>
      </w:r>
    </w:p>
    <w:p>
      <w:pPr>
        <w:spacing w:after="60"/>
        <w:ind w:left="216" w:right="72"/>
        <w:shd w:fill="F3F4F6"/>
      </w:pPr>
      <w:r>
        <w:rPr>
          <w:rFonts w:ascii="Consolas" w:hAnsi="Consolas" w:eastAsia="Consolas"/>
          <w:sz w:val="13"/>
        </w:rPr>
        <w:t xml:space="preserve">        up_barrier=1.0e12,</w:t>
        <w:br/>
        <w:t xml:space="preserve">        down_barrier=float(barrier_level),</w:t>
        <w:br/>
        <w:t xml:space="preserve">        rebate_in=1.0,</w:t>
        <w:br/>
        <w:t xml:space="preserve">        rebate_out=0.0,</w:t>
        <w:br/>
        <w:t xml:space="preserve">        S0=100.0,</w:t>
        <w:br/>
        <w:t xml:space="preserve">        K=100.0,</w:t>
        <w:br/>
        <w:t xml:space="preserve">        r=0.10,</w:t>
        <w:br/>
        <w:t xml:space="preserve">        sigma=0.30,</w:t>
        <w:br/>
        <w:t xml:space="preserve">        y=0.0,</w:t>
        <w:br/>
        <w:t xml:space="preserve">        T=0.20,</w:t>
        <w:br/>
        <w:t xml:space="preserve">        M=M,</w:t>
        <w:br/>
        <w:t xml:space="preserve">        N=N,</w:t>
        <w:br/>
        <w:t xml:space="preserve">        seed=SEED,</w:t>
        <w:br/>
        <w:t xml:space="preserve">        greeks=False,</w:t>
        <w:br/>
        <w:t xml:space="preserve">        retained_variables=False,</w:t>
        <w:br/>
        <w:t xml:space="preserve">    )</w:t>
        <w:br/>
        <w:br/>
        <w:t xml:space="preserve">    out_value = float(down_out["price"])</w:t>
        <w:br/>
        <w:t xml:space="preserve">    out_error = float(down_out["std_error"] or 0.0)</w:t>
        <w:br/>
        <w:t xml:space="preserve">    in_value = float(down_in["price"])</w:t>
        <w:br/>
        <w:t xml:space="preserve">    in_error = float(down_in["std_error"] or 0.0)</w:t>
        <w:br/>
        <w:t xml:space="preserve">    vanilla_value = float(vanilla["price"])</w:t>
        <w:br/>
        <w:t xml:space="preserve">    vanilla_error = float(vanilla["std_error"] or 0.0)</w:t>
        <w:br/>
        <w:br/>
        <w:t xml:space="preserve">    assert abs(out_value - reference) &lt;= TOL * out_error</w:t>
        <w:br/>
        <w:br/>
        <w:t xml:space="preserve">    parity_error = (</w:t>
        <w:br/>
        <w:t xml:space="preserve">        out_value + in_value - vanilla_value</w:t>
        <w:br/>
        <w:t xml:space="preserve">    )</w:t>
        <w:br/>
        <w:t xml:space="preserve">    parity_tolerance = TOL * math.sqrt(</w:t>
        <w:br/>
        <w:t xml:space="preserve">        out_error ** 2</w:t>
        <w:br/>
        <w:t xml:space="preserve">        + in_error ** 2</w:t>
        <w:br/>
        <w:t xml:space="preserve">        + vanilla_error ** 2</w:t>
        <w:br/>
        <w:t xml:space="preserve">    )</w:t>
        <w:br/>
        <w:t xml:space="preserve">    assert abs(parity_error) &lt;= parity_tolerance</w:t>
      </w:r>
    </w:p>
    <w:p>
      <w:r>
        <w:br w:type="page"/>
      </w:r>
    </w:p>
    <w:p>
      <w:pPr>
        <w:pStyle w:val="Heading2"/>
      </w:pPr>
      <w:r>
        <w:t>E.5 BenchmarkMertonJumps_API_ONLY_FLAT(1).py</w:t>
      </w:r>
    </w:p>
    <w:p>
      <w:pPr>
        <w:spacing w:after="60"/>
        <w:ind w:left="216" w:right="72"/>
        <w:shd w:fill="F3F4F6"/>
      </w:pPr>
      <w:r>
        <w:rPr>
          <w:rFonts w:ascii="Consolas" w:hAnsi="Consolas" w:eastAsia="Consolas"/>
          <w:sz w:val="13"/>
        </w:rPr>
        <w:t># -*- coding: utf-8 -*-</w:t>
        <w:br/>
        <w:t>"""Flat pytest validation of the Merton jump-diffusion API."""</w:t>
        <w:br/>
        <w:br/>
        <w:t>import math</w:t>
        <w:br/>
        <w:t>import os</w:t>
        <w:br/>
        <w:br/>
        <w:t>import pytest</w:t>
        <w:br/>
        <w:br/>
        <w:t>from optipricepropandas import price</w:t>
        <w:br/>
        <w:br/>
        <w:br/>
        <w:t>S0 = 100.0</w:t>
        <w:br/>
        <w:t>R = 0.05</w:t>
        <w:br/>
        <w:t>Y = 0.0</w:t>
        <w:br/>
        <w:t>SIGMA = 0.20</w:t>
        <w:br/>
        <w:t>T = 1.0</w:t>
        <w:br/>
        <w:br/>
        <w:t>N = int(os.getenv("BENCH_N_PATHS", "400000"))</w:t>
        <w:br/>
        <w:t>M = int(os.getenv("BENCH_N_STEPS", "100"))</w:t>
        <w:br/>
        <w:t>SEED = int(os.getenv("BENCH_SEED", "0"))</w:t>
        <w:br/>
        <w:t>TOL = float(os.getenv("BENCH_TOL_SE", "4.0"))</w:t>
        <w:br/>
        <w:br/>
        <w:t>STRIKES = (90.0, 100.0, 110.0)</w:t>
        <w:br/>
        <w:t>JUMP_CASES = [</w:t>
        <w:br/>
        <w:t xml:space="preserve">    (0.0, 0.00, 0.15),</w:t>
        <w:br/>
        <w:t xml:space="preserve">    (0.3, 0.00, 0.15),</w:t>
        <w:br/>
        <w:t xml:space="preserve">    (1.0, 0.00, 0.25),</w:t>
        <w:br/>
        <w:t xml:space="preserve">    (0.3, -0.10, 0.15),</w:t>
        <w:br/>
        <w:t xml:space="preserve">    (1.0, 0.05, 0.20),</w:t>
        <w:br/>
        <w:t>]</w:t>
        <w:br/>
        <w:br/>
        <w:br/>
        <w:t>@pytest.mark.parametrize(</w:t>
        <w:br/>
        <w:t xml:space="preserve">    "jump_intensity,jump_mean,jump_volatility",</w:t>
        <w:br/>
        <w:t xml:space="preserve">    JUMP_CASES,</w:t>
        <w:br/>
        <w:t>)</w:t>
        <w:br/>
        <w:t>@pytest.mark.parametrize("strike", STRIKES)</w:t>
        <w:br/>
        <w:t>def test_merton_put_call_parity_flat(</w:t>
        <w:br/>
        <w:t xml:space="preserve">    jump_intensity,</w:t>
        <w:br/>
        <w:t xml:space="preserve">    jump_mean,</w:t>
        <w:br/>
        <w:t xml:space="preserve">    jump_volatility,</w:t>
        <w:br/>
        <w:t xml:space="preserve">    strike,</w:t>
        <w:br/>
        <w:t>):</w:t>
        <w:br/>
        <w:t xml:space="preserve">    call = price(</w:t>
        <w:br/>
        <w:t xml:space="preserve">        "European",</w:t>
      </w:r>
    </w:p>
    <w:p>
      <w:pPr>
        <w:spacing w:after="60"/>
        <w:ind w:left="216" w:right="72"/>
        <w:shd w:fill="F3F4F6"/>
      </w:pPr>
      <w:r>
        <w:rPr>
          <w:rFonts w:ascii="Consolas" w:hAnsi="Consolas" w:eastAsia="Consolas"/>
          <w:sz w:val="13"/>
        </w:rPr>
        <w:t xml:space="preserve">        "Call",</w:t>
        <w:br/>
        <w:t xml:space="preserve">        S0=100.0,</w:t>
        <w:br/>
        <w:t xml:space="preserve">        K=float(strike),</w:t>
        <w:br/>
        <w:t xml:space="preserve">        r=0.05,</w:t>
        <w:br/>
        <w:t xml:space="preserve">        sigma=0.20,</w:t>
        <w:br/>
        <w:t xml:space="preserve">        y=0.0,</w:t>
        <w:br/>
        <w:t xml:space="preserve">        T=1.0,</w:t>
        <w:br/>
        <w:t xml:space="preserve">        M=M,</w:t>
        <w:br/>
        <w:t xml:space="preserve">        N=N,</w:t>
        <w:br/>
        <w:t xml:space="preserve">        seed=SEED,</w:t>
        <w:br/>
        <w:t xml:space="preserve">        underlying="PathIndependentOption",</w:t>
        <w:br/>
        <w:t xml:space="preserve">        wrapper_order="Underlying only",</w:t>
        <w:br/>
        <w:t xml:space="preserve">        jumps=jump_intensity &gt; 0.0,</w:t>
        <w:br/>
        <w:t xml:space="preserve">        muJ=float(jump_mean),</w:t>
        <w:br/>
        <w:t xml:space="preserve">        sigmaJ=float(jump_volatility),</w:t>
        <w:br/>
        <w:t xml:space="preserve">        Lambda=float(jump_intensity),</w:t>
        <w:br/>
        <w:t xml:space="preserve">        rate_model="Constant",</w:t>
        <w:br/>
        <w:t xml:space="preserve">        volatility_model="Constant",</w:t>
        <w:br/>
        <w:t xml:space="preserve">        dividend_model="Constant",</w:t>
        <w:br/>
        <w:t xml:space="preserve">        sentiment_model="Constant",</w:t>
        <w:br/>
        <w:t xml:space="preserve">        sentiment_vol_model="Constant",</w:t>
        <w:br/>
        <w:t xml:space="preserve">        greeks=False,</w:t>
        <w:br/>
        <w:t xml:space="preserve">        retained_variables=False,</w:t>
        <w:br/>
        <w:t xml:space="preserve">    )</w:t>
        <w:br/>
        <w:br/>
        <w:t xml:space="preserve">    put = price(</w:t>
        <w:br/>
        <w:t xml:space="preserve">        "European",</w:t>
        <w:br/>
        <w:t xml:space="preserve">        "Put",</w:t>
        <w:br/>
        <w:t xml:space="preserve">        S0=100.0,</w:t>
        <w:br/>
        <w:t xml:space="preserve">        K=float(strike),</w:t>
        <w:br/>
        <w:t xml:space="preserve">        r=0.05,</w:t>
        <w:br/>
        <w:t xml:space="preserve">        sigma=0.20,</w:t>
        <w:br/>
        <w:t xml:space="preserve">        y=0.0,</w:t>
        <w:br/>
        <w:t xml:space="preserve">        T=1.0,</w:t>
        <w:br/>
        <w:t xml:space="preserve">        M=M,</w:t>
        <w:br/>
        <w:t xml:space="preserve">        N=N,</w:t>
        <w:br/>
        <w:t xml:space="preserve">        seed=SEED,</w:t>
        <w:br/>
        <w:t xml:space="preserve">        underlying="PathIndependentOption",</w:t>
        <w:br/>
        <w:t xml:space="preserve">        wrapper_order="Underlying only",</w:t>
        <w:br/>
        <w:t xml:space="preserve">        jumps=jump_intensity &gt; 0.0,</w:t>
        <w:br/>
        <w:t xml:space="preserve">        muJ=float(jump_mean),</w:t>
        <w:br/>
        <w:t xml:space="preserve">        sigmaJ=float(jump_volatility),</w:t>
        <w:br/>
        <w:t xml:space="preserve">        Lambda=float(jump_intensity),</w:t>
        <w:br/>
        <w:t xml:space="preserve">        rate_model="Constant",</w:t>
        <w:br/>
        <w:t xml:space="preserve">        volatility_model="Constant",</w:t>
      </w:r>
    </w:p>
    <w:p>
      <w:pPr>
        <w:spacing w:after="60"/>
        <w:ind w:left="216" w:right="72"/>
        <w:shd w:fill="F3F4F6"/>
      </w:pPr>
      <w:r>
        <w:rPr>
          <w:rFonts w:ascii="Consolas" w:hAnsi="Consolas" w:eastAsia="Consolas"/>
          <w:sz w:val="13"/>
        </w:rPr>
        <w:t xml:space="preserve">        dividend_model="Constant",</w:t>
        <w:br/>
        <w:t xml:space="preserve">        sentiment_model="Constant",</w:t>
        <w:br/>
        <w:t xml:space="preserve">        sentiment_vol_model="Constant",</w:t>
        <w:br/>
        <w:t xml:space="preserve">        greeks=False,</w:t>
        <w:br/>
        <w:t xml:space="preserve">        retained_variables=False,</w:t>
        <w:br/>
        <w:t xml:space="preserve">    )</w:t>
        <w:br/>
        <w:br/>
        <w:t xml:space="preserve">    call_value = float(call["price"])</w:t>
        <w:br/>
        <w:t xml:space="preserve">    call_error = float(call["std_error"] or 0.0)</w:t>
        <w:br/>
        <w:t xml:space="preserve">    put_value = float(put["price"])</w:t>
        <w:br/>
        <w:t xml:space="preserve">    put_error = float(put["std_error"] or 0.0)</w:t>
        <w:br/>
        <w:br/>
        <w:t xml:space="preserve">    assert math.isfinite(call_value)</w:t>
        <w:br/>
        <w:t xml:space="preserve">    assert math.isfinite(put_value)</w:t>
        <w:br/>
        <w:t xml:space="preserve">    assert call_error &gt;= 0.0</w:t>
        <w:br/>
        <w:t xml:space="preserve">    assert put_error &gt;= 0.0</w:t>
        <w:br/>
        <w:br/>
        <w:t xml:space="preserve">    parity_target = (</w:t>
        <w:br/>
        <w:t xml:space="preserve">        S0 * math.exp(-Y * T)</w:t>
        <w:br/>
        <w:t xml:space="preserve">        - float(strike) * math.exp(-R * T)</w:t>
        <w:br/>
        <w:t xml:space="preserve">    )</w:t>
        <w:br/>
        <w:t xml:space="preserve">    parity_error = (</w:t>
        <w:br/>
        <w:t xml:space="preserve">        call_value - put_value - parity_target</w:t>
        <w:br/>
        <w:t xml:space="preserve">    )</w:t>
        <w:br/>
        <w:t xml:space="preserve">    parity_tolerance = TOL * math.sqrt(</w:t>
        <w:br/>
        <w:t xml:space="preserve">        call_error ** 2 + put_error ** 2</w:t>
        <w:br/>
        <w:t xml:space="preserve">    )</w:t>
        <w:br/>
        <w:br/>
        <w:t xml:space="preserve">    assert abs(parity_error) &lt;= parity_tolerance</w:t>
        <w:br/>
        <w:br/>
        <w:br/>
        <w:t>@pytest.mark.parametrize("strike", STRIKES)</w:t>
        <w:br/>
        <w:t>def test_zero_jump_intensity_matches_diffusion_flat(</w:t>
        <w:br/>
        <w:t xml:space="preserve">    strike,</w:t>
        <w:br/>
        <w:t>):</w:t>
        <w:br/>
        <w:t xml:space="preserve">    zero_jump = price(</w:t>
        <w:br/>
        <w:t xml:space="preserve">        "European",</w:t>
        <w:br/>
        <w:t xml:space="preserve">        "Call",</w:t>
        <w:br/>
        <w:t xml:space="preserve">        S0=100.0,</w:t>
        <w:br/>
        <w:t xml:space="preserve">        K=float(strike),</w:t>
        <w:br/>
        <w:t xml:space="preserve">        r=0.05,</w:t>
        <w:br/>
        <w:t xml:space="preserve">        sigma=0.20,</w:t>
        <w:br/>
        <w:t xml:space="preserve">        y=0.0,</w:t>
        <w:br/>
        <w:t xml:space="preserve">        T=1.0,</w:t>
        <w:br/>
        <w:t xml:space="preserve">        M=M,</w:t>
      </w:r>
    </w:p>
    <w:p>
      <w:pPr>
        <w:spacing w:after="60"/>
        <w:ind w:left="216" w:right="72"/>
        <w:shd w:fill="F3F4F6"/>
      </w:pPr>
      <w:r>
        <w:rPr>
          <w:rFonts w:ascii="Consolas" w:hAnsi="Consolas" w:eastAsia="Consolas"/>
          <w:sz w:val="13"/>
        </w:rPr>
        <w:t xml:space="preserve">        N=N,</w:t>
        <w:br/>
        <w:t xml:space="preserve">        seed=SEED,</w:t>
        <w:br/>
        <w:t xml:space="preserve">        underlying="PathIndependentOption",</w:t>
        <w:br/>
        <w:t xml:space="preserve">        wrapper_order="Underlying only",</w:t>
        <w:br/>
        <w:t xml:space="preserve">        jumps=False,</w:t>
        <w:br/>
        <w:t xml:space="preserve">        muJ=0.0,</w:t>
        <w:br/>
        <w:t xml:space="preserve">        sigmaJ=0.15,</w:t>
        <w:br/>
        <w:t xml:space="preserve">        Lambda=0.0,</w:t>
        <w:br/>
        <w:t xml:space="preserve">        rate_model="Constant",</w:t>
        <w:br/>
        <w:t xml:space="preserve">        volatility_model="Constant",</w:t>
        <w:br/>
        <w:t xml:space="preserve">        dividend_model="Constant",</w:t>
        <w:br/>
        <w:t xml:space="preserve">        sentiment_model="Constant",</w:t>
        <w:br/>
        <w:t xml:space="preserve">        sentiment_vol_model="Constant",</w:t>
        <w:br/>
        <w:t xml:space="preserve">        greeks=False,</w:t>
        <w:br/>
        <w:t xml:space="preserve">        retained_variables=False,</w:t>
        <w:br/>
        <w:t xml:space="preserve">    )</w:t>
        <w:br/>
        <w:br/>
        <w:t xml:space="preserve">    diffusion = price(</w:t>
        <w:br/>
        <w:t xml:space="preserve">        "European",</w:t>
        <w:br/>
        <w:t xml:space="preserve">        "Call",</w:t>
        <w:br/>
        <w:t xml:space="preserve">        S0=100.0,</w:t>
        <w:br/>
        <w:t xml:space="preserve">        K=float(strike),</w:t>
        <w:br/>
        <w:t xml:space="preserve">        r=0.05,</w:t>
        <w:br/>
        <w:t xml:space="preserve">        sigma=0.20,</w:t>
        <w:br/>
        <w:t xml:space="preserve">        y=0.0,</w:t>
        <w:br/>
        <w:t xml:space="preserve">        T=1.0,</w:t>
        <w:br/>
        <w:t xml:space="preserve">        M=M,</w:t>
        <w:br/>
        <w:t xml:space="preserve">        N=N,</w:t>
        <w:br/>
        <w:t xml:space="preserve">        seed=SEED,</w:t>
        <w:br/>
        <w:t xml:space="preserve">        underlying="PathIndependentOption",</w:t>
        <w:br/>
        <w:t xml:space="preserve">        wrapper_order="Underlying only",</w:t>
        <w:br/>
        <w:t xml:space="preserve">        jumps=False,</w:t>
        <w:br/>
        <w:t xml:space="preserve">        muJ=0.0,</w:t>
        <w:br/>
        <w:t xml:space="preserve">        sigmaJ=0.0,</w:t>
        <w:br/>
        <w:t xml:space="preserve">        Lambda=0.0,</w:t>
        <w:br/>
        <w:t xml:space="preserve">        rate_model="Constant",</w:t>
        <w:br/>
        <w:t xml:space="preserve">        volatility_model="Constant",</w:t>
        <w:br/>
        <w:t xml:space="preserve">        dividend_model="Constant",</w:t>
        <w:br/>
        <w:t xml:space="preserve">        sentiment_model="Constant",</w:t>
        <w:br/>
        <w:t xml:space="preserve">        sentiment_vol_model="Constant",</w:t>
        <w:br/>
        <w:t xml:space="preserve">        greeks=False,</w:t>
        <w:br/>
        <w:t xml:space="preserve">        retained_variables=False,</w:t>
        <w:br/>
        <w:t xml:space="preserve">    )</w:t>
        <w:br/>
        <w:br/>
        <w:t xml:space="preserve">    jump_value = float(zero_jump["price"])</w:t>
      </w:r>
    </w:p>
    <w:p>
      <w:pPr>
        <w:spacing w:after="60"/>
        <w:ind w:left="216" w:right="72"/>
        <w:shd w:fill="F3F4F6"/>
      </w:pPr>
      <w:r>
        <w:rPr>
          <w:rFonts w:ascii="Consolas" w:hAnsi="Consolas" w:eastAsia="Consolas"/>
          <w:sz w:val="13"/>
        </w:rPr>
        <w:t xml:space="preserve">    jump_error = float(zero_jump["std_error"] or 0.0)</w:t>
        <w:br/>
        <w:t xml:space="preserve">    diffusion_value = float(diffusion["price"])</w:t>
        <w:br/>
        <w:t xml:space="preserve">    diffusion_error = float(</w:t>
        <w:br/>
        <w:t xml:space="preserve">        diffusion["std_error"] or 0.0</w:t>
        <w:br/>
        <w:t xml:space="preserve">    )</w:t>
        <w:br/>
        <w:br/>
        <w:t xml:space="preserve">    tolerance = TOL * math.sqrt(</w:t>
        <w:br/>
        <w:t xml:space="preserve">        jump_error ** 2 + diffusion_error ** 2</w:t>
        <w:br/>
        <w:t xml:space="preserve">    )</w:t>
        <w:br/>
        <w:t xml:space="preserve">    assert abs(</w:t>
        <w:br/>
        <w:t xml:space="preserve">        jump_value - diffusion_value</w:t>
        <w:br/>
        <w:t xml:space="preserve">    ) &lt;= tolerance</w:t>
      </w:r>
    </w:p>
    <w:p>
      <w:r>
        <w:br w:type="page"/>
      </w:r>
    </w:p>
    <w:p>
      <w:pPr>
        <w:pStyle w:val="Heading2"/>
      </w:pPr>
      <w:r>
        <w:t>E.6 BenchmarkEuropeanLookbackGSG_API_ONLY_FLAT(1).py</w:t>
      </w:r>
    </w:p>
    <w:p>
      <w:pPr>
        <w:spacing w:after="60"/>
        <w:ind w:left="216" w:right="72"/>
        <w:shd w:fill="F3F4F6"/>
      </w:pPr>
      <w:r>
        <w:rPr>
          <w:rFonts w:ascii="Consolas" w:hAnsi="Consolas" w:eastAsia="Consolas"/>
          <w:sz w:val="13"/>
        </w:rPr>
        <w:t># -*- coding: utf-8 -*-</w:t>
        <w:br/>
        <w:t>"""Flat pytest validation of European lookback options."""</w:t>
        <w:br/>
        <w:br/>
        <w:t>import math</w:t>
        <w:br/>
        <w:t>import os</w:t>
        <w:br/>
        <w:br/>
        <w:t>import pytest</w:t>
        <w:br/>
        <w:br/>
        <w:t>from optipricepropandas import price</w:t>
        <w:br/>
        <w:br/>
        <w:br/>
        <w:t>S0 = 100.0</w:t>
        <w:br/>
        <w:t>K = 100.0</w:t>
        <w:br/>
        <w:t>R = 0.10</w:t>
        <w:br/>
        <w:t>SIGMA = 0.30</w:t>
        <w:br/>
        <w:t>Y = 0.0</w:t>
        <w:br/>
        <w:t>T = 0.20</w:t>
        <w:br/>
        <w:br/>
        <w:t>M = int(os.getenv("BENCH_N_STEPS", "50"))</w:t>
        <w:br/>
        <w:t>N = int(os.getenv("BENCH_N_PATHS", "200000"))</w:t>
        <w:br/>
        <w:t>SEED = int(os.getenv("BENCH_SEED", "0"))</w:t>
        <w:br/>
        <w:t>TOL = float(os.getenv("BENCH_TOL_SE", "4.0"))</w:t>
        <w:br/>
        <w:br/>
        <w:t>CASES = [</w:t>
        <w:br/>
        <w:t xml:space="preserve">    ("Call", "LookbacksFloatingStrike"),</w:t>
        <w:br/>
        <w:t xml:space="preserve">    ("Put", "LookbacksFloatingStrike"),</w:t>
        <w:br/>
        <w:t xml:space="preserve">    ("Call", "LookbacksFixedStrike"),</w:t>
        <w:br/>
        <w:t xml:space="preserve">    ("Put", "LookbacksFixedStrike"),</w:t>
        <w:br/>
        <w:t>]</w:t>
        <w:br/>
        <w:br/>
        <w:br/>
        <w:t>@pytest.mark.parametrize("payoff,lookback", CASES)</w:t>
        <w:br/>
        <w:t>def test_european_lookback_finite_flat(</w:t>
        <w:br/>
        <w:t xml:space="preserve">    payoff,</w:t>
        <w:br/>
        <w:t xml:space="preserve">    lookback,</w:t>
        <w:br/>
        <w:t>):</w:t>
        <w:br/>
        <w:t xml:space="preserve">    result = price(</w:t>
        <w:br/>
        <w:t xml:space="preserve">        "European",</w:t>
        <w:br/>
        <w:t xml:space="preserve">        payoff,</w:t>
        <w:br/>
        <w:t xml:space="preserve">        S0=100.0,</w:t>
        <w:br/>
        <w:t xml:space="preserve">        K=100.0,</w:t>
        <w:br/>
        <w:t xml:space="preserve">        r=0.10,</w:t>
        <w:br/>
        <w:t xml:space="preserve">        sigma=0.30,</w:t>
        <w:br/>
        <w:t xml:space="preserve">        y=0.0,</w:t>
        <w:br/>
        <w:t xml:space="preserve">        T=0.20,</w:t>
      </w:r>
    </w:p>
    <w:p>
      <w:pPr>
        <w:spacing w:after="60"/>
        <w:ind w:left="216" w:right="72"/>
        <w:shd w:fill="F3F4F6"/>
      </w:pPr>
      <w:r>
        <w:rPr>
          <w:rFonts w:ascii="Consolas" w:hAnsi="Consolas" w:eastAsia="Consolas"/>
          <w:sz w:val="13"/>
        </w:rPr>
        <w:t xml:space="preserve">        M=M,</w:t>
        <w:br/>
        <w:t xml:space="preserve">        N=N,</w:t>
        <w:br/>
        <w:t xml:space="preserve">        seed=SEED,</w:t>
        <w:br/>
        <w:t xml:space="preserve">        underlying="PathIndependentOption",</w:t>
        <w:br/>
        <w:t xml:space="preserve">        wrapper_order="Lookback on underlying",</w:t>
        <w:br/>
        <w:t xml:space="preserve">        lookback=lookback,</w:t>
        <w:br/>
        <w:t xml:space="preserve">        rate_model="Constant",</w:t>
        <w:br/>
        <w:t xml:space="preserve">        volatility_model="Constant",</w:t>
        <w:br/>
        <w:t xml:space="preserve">        dividend_model="Constant",</w:t>
        <w:br/>
        <w:t xml:space="preserve">        sentiment_model="Constant",</w:t>
        <w:br/>
        <w:t xml:space="preserve">        sentiment_vol_model="Constant",</w:t>
        <w:br/>
        <w:t xml:space="preserve">        jumps=False,</w:t>
        <w:br/>
        <w:t xml:space="preserve">        greeks=False,</w:t>
        <w:br/>
        <w:t xml:space="preserve">        retained_variables=False,</w:t>
        <w:br/>
        <w:t xml:space="preserve">    )</w:t>
        <w:br/>
        <w:br/>
        <w:t xml:space="preserve">    value = float(result["price"])</w:t>
        <w:br/>
        <w:t xml:space="preserve">    standard_error = float(</w:t>
        <w:br/>
        <w:t xml:space="preserve">        result["std_error"] or 0.0</w:t>
        <w:br/>
        <w:t xml:space="preserve">    )</w:t>
        <w:br/>
        <w:br/>
        <w:t xml:space="preserve">    assert math.isfinite(value)</w:t>
        <w:br/>
        <w:t xml:space="preserve">    assert math.isfinite(standard_error)</w:t>
        <w:br/>
        <w:t xml:space="preserve">    assert value &gt;= 0.0</w:t>
        <w:br/>
        <w:t xml:space="preserve">    assert standard_error &gt;= 0.0</w:t>
        <w:br/>
        <w:br/>
        <w:br/>
        <w:t>@pytest.mark.parametrize(</w:t>
        <w:br/>
        <w:t xml:space="preserve">    "payoff",</w:t>
        <w:br/>
        <w:t xml:space="preserve">    ["Call", "Put"],</w:t>
        <w:br/>
        <w:t>)</w:t>
        <w:br/>
        <w:t>def test_floating_strike_is_independent_of_k_flat(</w:t>
        <w:br/>
        <w:t xml:space="preserve">    payoff,</w:t>
        <w:br/>
        <w:t>):</w:t>
        <w:br/>
        <w:t xml:space="preserve">    base = price(</w:t>
        <w:br/>
        <w:t xml:space="preserve">        "European",</w:t>
        <w:br/>
        <w:t xml:space="preserve">        payoff,</w:t>
        <w:br/>
        <w:t xml:space="preserve">        S0=100.0,</w:t>
        <w:br/>
        <w:t xml:space="preserve">        K=100.0,</w:t>
        <w:br/>
        <w:t xml:space="preserve">        r=0.10,</w:t>
        <w:br/>
        <w:t xml:space="preserve">        sigma=0.30,</w:t>
        <w:br/>
        <w:t xml:space="preserve">        y=0.0,</w:t>
        <w:br/>
        <w:t xml:space="preserve">        T=0.20,</w:t>
        <w:br/>
        <w:t xml:space="preserve">        M=M,</w:t>
        <w:br/>
        <w:t xml:space="preserve">        N=N,</w:t>
      </w:r>
    </w:p>
    <w:p>
      <w:pPr>
        <w:spacing w:after="60"/>
        <w:ind w:left="216" w:right="72"/>
        <w:shd w:fill="F3F4F6"/>
      </w:pPr>
      <w:r>
        <w:rPr>
          <w:rFonts w:ascii="Consolas" w:hAnsi="Consolas" w:eastAsia="Consolas"/>
          <w:sz w:val="13"/>
        </w:rPr>
        <w:t xml:space="preserve">        seed=SEED,</w:t>
        <w:br/>
        <w:t xml:space="preserve">        underlying="PathIndependentOption",</w:t>
        <w:br/>
        <w:t xml:space="preserve">        wrapper_order="Lookback on underlying",</w:t>
        <w:br/>
        <w:t xml:space="preserve">        lookback="LookbacksFloatingStrike",</w:t>
        <w:br/>
        <w:t xml:space="preserve">        rate_model="Constant",</w:t>
        <w:br/>
        <w:t xml:space="preserve">        volatility_model="Constant",</w:t>
        <w:br/>
        <w:t xml:space="preserve">        dividend_model="Constant",</w:t>
        <w:br/>
        <w:t xml:space="preserve">        sentiment_model="Constant",</w:t>
        <w:br/>
        <w:t xml:space="preserve">        sentiment_vol_model="Constant",</w:t>
        <w:br/>
        <w:t xml:space="preserve">        jumps=False,</w:t>
        <w:br/>
        <w:t xml:space="preserve">        greeks=False,</w:t>
        <w:br/>
        <w:t xml:space="preserve">        retained_variables=False,</w:t>
        <w:br/>
        <w:t xml:space="preserve">    )</w:t>
        <w:br/>
        <w:br/>
        <w:t xml:space="preserve">    bumped = price(</w:t>
        <w:br/>
        <w:t xml:space="preserve">        "European",</w:t>
        <w:br/>
        <w:t xml:space="preserve">        payoff,</w:t>
        <w:br/>
        <w:t xml:space="preserve">        S0=100.0,</w:t>
        <w:br/>
        <w:t xml:space="preserve">        K=137.0,</w:t>
        <w:br/>
        <w:t xml:space="preserve">        r=0.10,</w:t>
        <w:br/>
        <w:t xml:space="preserve">        sigma=0.30,</w:t>
        <w:br/>
        <w:t xml:space="preserve">        y=0.0,</w:t>
        <w:br/>
        <w:t xml:space="preserve">        T=0.20,</w:t>
        <w:br/>
        <w:t xml:space="preserve">        M=M,</w:t>
        <w:br/>
        <w:t xml:space="preserve">        N=N,</w:t>
        <w:br/>
        <w:t xml:space="preserve">        seed=SEED,</w:t>
        <w:br/>
        <w:t xml:space="preserve">        underlying="PathIndependentOption",</w:t>
        <w:br/>
        <w:t xml:space="preserve">        wrapper_order="Lookback on underlying",</w:t>
        <w:br/>
        <w:t xml:space="preserve">        lookback="LookbacksFloatingStrike",</w:t>
        <w:br/>
        <w:t xml:space="preserve">        rate_model="Constant",</w:t>
        <w:br/>
        <w:t xml:space="preserve">        volatility_model="Constant",</w:t>
        <w:br/>
        <w:t xml:space="preserve">        dividend_model="Constant",</w:t>
        <w:br/>
        <w:t xml:space="preserve">        sentiment_model="Constant",</w:t>
        <w:br/>
        <w:t xml:space="preserve">        sentiment_vol_model="Constant",</w:t>
        <w:br/>
        <w:t xml:space="preserve">        jumps=False,</w:t>
        <w:br/>
        <w:t xml:space="preserve">        greeks=False,</w:t>
        <w:br/>
        <w:t xml:space="preserve">        retained_variables=False,</w:t>
        <w:br/>
        <w:t xml:space="preserve">    )</w:t>
        <w:br/>
        <w:br/>
        <w:t xml:space="preserve">    base_value = float(base["price"])</w:t>
        <w:br/>
        <w:t xml:space="preserve">    base_error = float(base["std_error"] or 0.0)</w:t>
        <w:br/>
        <w:t xml:space="preserve">    bumped_value = float(bumped["price"])</w:t>
        <w:br/>
        <w:t xml:space="preserve">    bumped_error = float(</w:t>
        <w:br/>
        <w:t xml:space="preserve">        bumped["std_error"] or 0.0</w:t>
        <w:br/>
        <w:t xml:space="preserve">    )</w:t>
      </w:r>
    </w:p>
    <w:p>
      <w:pPr>
        <w:spacing w:after="60"/>
        <w:ind w:left="216" w:right="72"/>
        <w:shd w:fill="F3F4F6"/>
      </w:pPr>
      <w:r>
        <w:rPr>
          <w:rFonts w:ascii="Consolas" w:hAnsi="Consolas" w:eastAsia="Consolas"/>
          <w:sz w:val="13"/>
        </w:rPr>
        <w:br/>
        <w:t xml:space="preserve">    tolerance = TOL * math.sqrt(</w:t>
        <w:br/>
        <w:t xml:space="preserve">        base_error ** 2 + bumped_error ** 2</w:t>
        <w:br/>
        <w:t xml:space="preserve">    )</w:t>
        <w:br/>
        <w:t xml:space="preserve">    assert abs(</w:t>
        <w:br/>
        <w:t xml:space="preserve">        bumped_value - base_value</w:t>
        <w:br/>
        <w:t xml:space="preserve">    ) &lt;= tolerance</w:t>
        <w:br/>
        <w:br/>
        <w:br/>
        <w:t>@pytest.mark.parametrize("payoff,lookback", CASES)</w:t>
        <w:br/>
        <w:t>def test_european_lookback_same_seed_reproducibility(</w:t>
        <w:br/>
        <w:t xml:space="preserve">    payoff,</w:t>
        <w:br/>
        <w:t xml:space="preserve">    lookback,</w:t>
        <w:br/>
        <w:t>):</w:t>
        <w:br/>
        <w:t xml:space="preserve">    first = price(</w:t>
        <w:br/>
        <w:t xml:space="preserve">        "European",</w:t>
        <w:br/>
        <w:t xml:space="preserve">        payoff,</w:t>
        <w:br/>
        <w:t xml:space="preserve">        S0=100.0,</w:t>
        <w:br/>
        <w:t xml:space="preserve">        K=100.0,</w:t>
        <w:br/>
        <w:t xml:space="preserve">        r=0.10,</w:t>
        <w:br/>
        <w:t xml:space="preserve">        sigma=0.30,</w:t>
        <w:br/>
        <w:t xml:space="preserve">        y=0.0,</w:t>
        <w:br/>
        <w:t xml:space="preserve">        T=0.20,</w:t>
        <w:br/>
        <w:t xml:space="preserve">        M=M,</w:t>
        <w:br/>
        <w:t xml:space="preserve">        N=N,</w:t>
        <w:br/>
        <w:t xml:space="preserve">        seed=SEED,</w:t>
        <w:br/>
        <w:t xml:space="preserve">        underlying="PathIndependentOption",</w:t>
        <w:br/>
        <w:t xml:space="preserve">        wrapper_order="Lookback on underlying",</w:t>
        <w:br/>
        <w:t xml:space="preserve">        lookback=lookback,</w:t>
        <w:br/>
        <w:t xml:space="preserve">        jumps=False,</w:t>
        <w:br/>
        <w:t xml:space="preserve">        greeks=False,</w:t>
        <w:br/>
        <w:t xml:space="preserve">        retained_variables=False,</w:t>
        <w:br/>
        <w:t xml:space="preserve">    )</w:t>
        <w:br/>
        <w:br/>
        <w:t xml:space="preserve">    second = price(</w:t>
        <w:br/>
        <w:t xml:space="preserve">        "European",</w:t>
        <w:br/>
        <w:t xml:space="preserve">        payoff,</w:t>
        <w:br/>
        <w:t xml:space="preserve">        S0=100.0,</w:t>
        <w:br/>
        <w:t xml:space="preserve">        K=100.0,</w:t>
        <w:br/>
        <w:t xml:space="preserve">        r=0.10,</w:t>
        <w:br/>
        <w:t xml:space="preserve">        sigma=0.30,</w:t>
        <w:br/>
        <w:t xml:space="preserve">        y=0.0,</w:t>
        <w:br/>
        <w:t xml:space="preserve">        T=0.20,</w:t>
        <w:br/>
        <w:t xml:space="preserve">        M=M,</w:t>
        <w:br/>
        <w:t xml:space="preserve">        N=N,</w:t>
      </w:r>
    </w:p>
    <w:p>
      <w:pPr>
        <w:spacing w:after="60"/>
        <w:ind w:left="216" w:right="72"/>
        <w:shd w:fill="F3F4F6"/>
      </w:pPr>
      <w:r>
        <w:rPr>
          <w:rFonts w:ascii="Consolas" w:hAnsi="Consolas" w:eastAsia="Consolas"/>
          <w:sz w:val="13"/>
        </w:rPr>
        <w:t xml:space="preserve">        seed=SEED,</w:t>
        <w:br/>
        <w:t xml:space="preserve">        underlying="PathIndependentOption",</w:t>
        <w:br/>
        <w:t xml:space="preserve">        wrapper_order="Lookback on underlying",</w:t>
        <w:br/>
        <w:t xml:space="preserve">        lookback=lookback,</w:t>
        <w:br/>
        <w:t xml:space="preserve">        jumps=False,</w:t>
        <w:br/>
        <w:t xml:space="preserve">        greeks=False,</w:t>
        <w:br/>
        <w:t xml:space="preserve">        retained_variables=False,</w:t>
        <w:br/>
        <w:t xml:space="preserve">    )</w:t>
        <w:br/>
        <w:br/>
        <w:t xml:space="preserve">    assert float(first["price"]) == float(second["price"])</w:t>
        <w:br/>
        <w:t xml:space="preserve">    assert float(first["std_error"]) == float(</w:t>
        <w:br/>
        <w:t xml:space="preserve">        second["std_error"]</w:t>
        <w:br/>
        <w:t xml:space="preserve">    )</w:t>
      </w:r>
    </w:p>
    <w:p>
      <w:r>
        <w:br w:type="page"/>
      </w:r>
    </w:p>
    <w:p>
      <w:pPr>
        <w:pStyle w:val="Heading2"/>
      </w:pPr>
      <w:r>
        <w:t>E.7 BenchmarkJumps_API_ONLY_FLAT(1).py</w:t>
      </w:r>
    </w:p>
    <w:p>
      <w:pPr>
        <w:spacing w:after="60"/>
        <w:ind w:left="216" w:right="72"/>
        <w:shd w:fill="F3F4F6"/>
      </w:pPr>
      <w:r>
        <w:rPr>
          <w:rFonts w:ascii="Consolas" w:hAnsi="Consolas" w:eastAsia="Consolas"/>
          <w:sz w:val="13"/>
        </w:rPr>
        <w:t># -*- coding: utf-8 -*-</w:t>
        <w:br/>
        <w:t>"""Flat pytest catalogue for jump-diffusion configurations."""</w:t>
        <w:br/>
        <w:br/>
        <w:t>import math</w:t>
        <w:br/>
        <w:t>import os</w:t>
        <w:br/>
        <w:br/>
        <w:t>import pytest</w:t>
        <w:br/>
        <w:br/>
        <w:t>from optipricepropandas import price</w:t>
        <w:br/>
        <w:br/>
        <w:br/>
        <w:t>N = int(os.getenv("BENCH_N_PATHS", "8000"))</w:t>
        <w:br/>
        <w:t>M = int(os.getenv("BENCH_N_STEPS", "16"))</w:t>
        <w:br/>
        <w:t>T = float(os.getenv("BENCH_T", "1.0"))</w:t>
        <w:br/>
        <w:t>S0 = float(os.getenv("BENCH_S0", "100.0"))</w:t>
        <w:br/>
        <w:t>K = float(os.getenv("BENCH_K", "100.0"))</w:t>
        <w:br/>
        <w:t>R = float(os.getenv("BENCH_R", "0.05"))</w:t>
        <w:br/>
        <w:t>SIGMA = float(os.getenv("BENCH_SIGMA", "0.20"))</w:t>
        <w:br/>
        <w:t>PAYOFF = os.getenv("BENCH_PAYOFF", "Call")</w:t>
        <w:br/>
        <w:t>SEED = int(os.getenv("BENCH_SEED", "0"))</w:t>
        <w:br/>
        <w:t>MUJ = float(os.getenv("BENCH_MUJ", "0.0"))</w:t>
        <w:br/>
        <w:t>SIGJ = float(os.getenv("BENCH_SIGMAJ", "0.1"))</w:t>
        <w:br/>
        <w:t>LAMBDA = float(os.getenv("BENCH_LAMBDA", "0.5"))</w:t>
        <w:br/>
        <w:t>MAX_CASES = int(os.getenv("BENCH_MAX_CASES", "0"))</w:t>
        <w:br/>
        <w:br/>
        <w:t>UNDERLYINGS = [</w:t>
        <w:br/>
        <w:t xml:space="preserve">    "PathIndependentOption",</w:t>
        <w:br/>
        <w:t xml:space="preserve">    "PathArithmeticAsianOption",</w:t>
        <w:br/>
        <w:t xml:space="preserve">    "PathGeometricAsianOption",</w:t>
        <w:br/>
        <w:t>]</w:t>
        <w:br/>
        <w:t>CONFIGS = [</w:t>
        <w:br/>
        <w:t xml:space="preserve">    ("Constant", "Constant", "Constant"),</w:t>
        <w:br/>
        <w:t xml:space="preserve">    ("Constant", "Heston", "Constant"),</w:t>
        <w:br/>
        <w:t xml:space="preserve">    ("Vasicek", "Constant", "Constant"),</w:t>
        <w:br/>
        <w:t xml:space="preserve">    ("Vasicek", "Heston", "Constant"),</w:t>
        <w:br/>
        <w:t xml:space="preserve">    ("Constant", "Constant", "Stochastic"),</w:t>
        <w:br/>
        <w:t xml:space="preserve">    ("Constant", "Heston", "Stochastic"),</w:t>
        <w:br/>
        <w:t xml:space="preserve">    ("Vasicek", "Heston", "Stochastic"),</w:t>
        <w:br/>
        <w:t>]</w:t>
        <w:br/>
        <w:br/>
        <w:t>CASES = [</w:t>
        <w:br/>
        <w:t xml:space="preserve">    (</w:t>
        <w:br/>
        <w:t xml:space="preserve">        underlying,</w:t>
        <w:br/>
        <w:t xml:space="preserve">        rate_model,</w:t>
        <w:br/>
        <w:t xml:space="preserve">        volatility_model,</w:t>
      </w:r>
    </w:p>
    <w:p>
      <w:pPr>
        <w:spacing w:after="60"/>
        <w:ind w:left="216" w:right="72"/>
        <w:shd w:fill="F3F4F6"/>
      </w:pPr>
      <w:r>
        <w:rPr>
          <w:rFonts w:ascii="Consolas" w:hAnsi="Consolas" w:eastAsia="Consolas"/>
          <w:sz w:val="13"/>
        </w:rPr>
        <w:t xml:space="preserve">        sentiment_model,</w:t>
        <w:br/>
        <w:t xml:space="preserve">    )</w:t>
        <w:br/>
        <w:t xml:space="preserve">    for underlying in UNDERLYINGS</w:t>
        <w:br/>
        <w:t xml:space="preserve">    for (</w:t>
        <w:br/>
        <w:t xml:space="preserve">        rate_model,</w:t>
        <w:br/>
        <w:t xml:space="preserve">        volatility_model,</w:t>
        <w:br/>
        <w:t xml:space="preserve">        sentiment_model,</w:t>
        <w:br/>
        <w:t xml:space="preserve">    ) in CONFIGS</w:t>
        <w:br/>
        <w:t>]</w:t>
        <w:br/>
        <w:t>if MAX_CASES &gt; 0:</w:t>
        <w:br/>
        <w:t xml:space="preserve">    CASES = CASES[:MAX_CASES]</w:t>
        <w:br/>
        <w:br/>
        <w:br/>
        <w:t>@pytest.mark.parametrize(</w:t>
        <w:br/>
        <w:t xml:space="preserve">    "underlying,rate_model,volatility_model,"</w:t>
        <w:br/>
        <w:t xml:space="preserve">    "sentiment_model",</w:t>
        <w:br/>
        <w:t xml:space="preserve">    CASES,</w:t>
        <w:br/>
        <w:t>)</w:t>
        <w:br/>
        <w:t>def test_jump_diffusion_catalogue_flat(</w:t>
        <w:br/>
        <w:t xml:space="preserve">    underlying,</w:t>
        <w:br/>
        <w:t xml:space="preserve">    rate_model,</w:t>
        <w:br/>
        <w:t xml:space="preserve">    volatility_model,</w:t>
        <w:br/>
        <w:t xml:space="preserve">    sentiment_model,</w:t>
        <w:br/>
        <w:t>):</w:t>
        <w:br/>
        <w:t xml:space="preserve">    result = price(</w:t>
        <w:br/>
        <w:t xml:space="preserve">        "European",</w:t>
        <w:br/>
        <w:t xml:space="preserve">        PAYOFF,</w:t>
        <w:br/>
        <w:t xml:space="preserve">        S0=S0,</w:t>
        <w:br/>
        <w:t xml:space="preserve">        K=K,</w:t>
        <w:br/>
        <w:t xml:space="preserve">        r=R,</w:t>
        <w:br/>
        <w:t xml:space="preserve">        sigma=SIGMA,</w:t>
        <w:br/>
        <w:t xml:space="preserve">        y=0.0,</w:t>
        <w:br/>
        <w:t xml:space="preserve">        T=T,</w:t>
        <w:br/>
        <w:t xml:space="preserve">        M=M,</w:t>
        <w:br/>
        <w:t xml:space="preserve">        N=N,</w:t>
        <w:br/>
        <w:t xml:space="preserve">        seed=SEED,</w:t>
        <w:br/>
        <w:t xml:space="preserve">        underlying=underlying,</w:t>
        <w:br/>
        <w:t xml:space="preserve">        wrapper_order="Underlying only",</w:t>
        <w:br/>
        <w:t xml:space="preserve">        jumps=True,</w:t>
        <w:br/>
        <w:t xml:space="preserve">        muJ=MUJ,</w:t>
        <w:br/>
        <w:t xml:space="preserve">        sigmaJ=SIGJ,</w:t>
        <w:br/>
        <w:t xml:space="preserve">        Lambda=LAMBDA,</w:t>
        <w:br/>
        <w:t xml:space="preserve">        rate_model=rate_model,</w:t>
        <w:br/>
        <w:t xml:space="preserve">        volatility_model=volatility_model,</w:t>
        <w:br/>
        <w:t xml:space="preserve">        dividend_model="Constant",</w:t>
      </w:r>
    </w:p>
    <w:p>
      <w:pPr>
        <w:spacing w:after="60"/>
        <w:ind w:left="216" w:right="72"/>
        <w:shd w:fill="F3F4F6"/>
      </w:pPr>
      <w:r>
        <w:rPr>
          <w:rFonts w:ascii="Consolas" w:hAnsi="Consolas" w:eastAsia="Consolas"/>
          <w:sz w:val="13"/>
        </w:rPr>
        <w:t xml:space="preserve">        sentiment_model=sentiment_model,</w:t>
        <w:br/>
        <w:t xml:space="preserve">        sentiment_vol_model="Constant",</w:t>
        <w:br/>
        <w:t xml:space="preserve">        sigma_R=0.01,</w:t>
        <w:br/>
        <w:t xml:space="preserve">        rate_a=0.50,</w:t>
        <w:br/>
        <w:t xml:space="preserve">        rate_b=R,</w:t>
        <w:br/>
        <w:t xml:space="preserve">        gamma=0.30,</w:t>
        <w:br/>
        <w:t xml:space="preserve">        kappa=1.50,</w:t>
        <w:br/>
        <w:t xml:space="preserve">        theta=SIGMA * SIGMA,</w:t>
        <w:br/>
        <w:t xml:space="preserve">        sentiment0=1.0,</w:t>
        <w:br/>
        <w:t xml:space="preserve">        mu_sent=0.05,</w:t>
        <w:br/>
        <w:t xml:space="preserve">        sigma_sent=0.20,</w:t>
        <w:br/>
        <w:t xml:space="preserve">        correlation2=[</w:t>
        <w:br/>
        <w:t xml:space="preserve">            [1.0, 0.0],</w:t>
        <w:br/>
        <w:t xml:space="preserve">            [0.0, 1.0],</w:t>
        <w:br/>
        <w:t xml:space="preserve">        ],</w:t>
        <w:br/>
        <w:t xml:space="preserve">        correlation3=[</w:t>
        <w:br/>
        <w:t xml:space="preserve">            [1.0, 0.0, 0.0],</w:t>
        <w:br/>
        <w:t xml:space="preserve">            [0.0, 1.0, 0.0],</w:t>
        <w:br/>
        <w:t xml:space="preserve">            [0.0, 0.0, 1.0],</w:t>
        <w:br/>
        <w:t xml:space="preserve">        ],</w:t>
        <w:br/>
        <w:t xml:space="preserve">        greeks=False,</w:t>
        <w:br/>
        <w:t xml:space="preserve">        retained_variables=False,</w:t>
        <w:br/>
        <w:t xml:space="preserve">    )</w:t>
        <w:br/>
        <w:br/>
        <w:t xml:space="preserve">    value = float(result["price"])</w:t>
        <w:br/>
        <w:t xml:space="preserve">    standard_error = float(</w:t>
        <w:br/>
        <w:t xml:space="preserve">        result["std_error"] or 0.0</w:t>
        <w:br/>
        <w:t xml:space="preserve">    )</w:t>
        <w:br/>
        <w:br/>
        <w:t xml:space="preserve">    assert math.isfinite(value)</w:t>
        <w:br/>
        <w:t xml:space="preserve">    assert math.isfinite(standard_error)</w:t>
        <w:br/>
        <w:t xml:space="preserve">    assert value &gt;= 0.0</w:t>
        <w:br/>
        <w:t xml:space="preserve">    assert standard_error &gt;= 0.0</w:t>
        <w:br/>
        <w:br/>
        <w:t xml:space="preserve">    config = result.get("config_echo", {})</w:t>
        <w:br/>
        <w:t xml:space="preserve">    assert config.get("stock_jumps_enabled") is True</w:t>
      </w:r>
    </w:p>
    <w:p>
      <w:r>
        <w:br w:type="page"/>
      </w:r>
    </w:p>
    <w:p>
      <w:pPr>
        <w:pStyle w:val="Heading2"/>
      </w:pPr>
      <w:r>
        <w:t>E.8 BenchmarkLookbackJumps_API_ONLY_FLAT(1).py</w:t>
      </w:r>
    </w:p>
    <w:p>
      <w:pPr>
        <w:spacing w:after="60"/>
        <w:ind w:left="216" w:right="72"/>
        <w:shd w:fill="F3F4F6"/>
      </w:pPr>
      <w:r>
        <w:rPr>
          <w:rFonts w:ascii="Consolas" w:hAnsi="Consolas" w:eastAsia="Consolas"/>
          <w:sz w:val="13"/>
        </w:rPr>
        <w:t># -*- coding: utf-8 -*-</w:t>
        <w:br/>
        <w:t>"""Flat pytest catalogue for European lookbacks with stock jumps."""</w:t>
        <w:br/>
        <w:br/>
        <w:t>import math</w:t>
        <w:br/>
        <w:t>import os</w:t>
        <w:br/>
        <w:br/>
        <w:t>import pytest</w:t>
        <w:br/>
        <w:br/>
        <w:t>from optipricepropandas import price</w:t>
        <w:br/>
        <w:br/>
        <w:br/>
        <w:t>N = int(os.getenv("BENCH_N_PATHS", "8000"))</w:t>
        <w:br/>
        <w:t>M = int(os.getenv("BENCH_N_STEPS", "16"))</w:t>
        <w:br/>
        <w:t>T = float(os.getenv("BENCH_T", "1.0"))</w:t>
        <w:br/>
        <w:t>S0 = float(os.getenv("BENCH_S0", "100.0"))</w:t>
        <w:br/>
        <w:t>K = float(os.getenv("BENCH_K", "100.0"))</w:t>
        <w:br/>
        <w:t>R = float(os.getenv("BENCH_R", "0.05"))</w:t>
        <w:br/>
        <w:t>SIGMA = float(os.getenv("BENCH_SIGMA", "0.20"))</w:t>
        <w:br/>
        <w:t>PAYOFF = os.getenv("BENCH_PAYOFF", "Call")</w:t>
        <w:br/>
        <w:t>SEED = int(os.getenv("BENCH_SEED", "0"))</w:t>
        <w:br/>
        <w:t>MUJ = float(os.getenv("BENCH_MUJ", "0.0"))</w:t>
        <w:br/>
        <w:t>SIGJ = float(os.getenv("BENCH_SIGMAJ", "0.1"))</w:t>
        <w:br/>
        <w:t>LAMBDA = float(os.getenv("BENCH_LAMBDA", "0.5"))</w:t>
        <w:br/>
        <w:t>MAX_CASES = int(os.getenv("BENCH_MAX_CASES", "0"))</w:t>
        <w:br/>
        <w:br/>
        <w:t>LOOKBACKS = [</w:t>
        <w:br/>
        <w:t xml:space="preserve">    "LookbacksFixedStrike",</w:t>
        <w:br/>
        <w:t xml:space="preserve">    "LookbacksFloatingStrike",</w:t>
        <w:br/>
        <w:t>]</w:t>
        <w:br/>
        <w:t>UNDERLYINGS = [</w:t>
        <w:br/>
        <w:t xml:space="preserve">    "PathIndependentOption",</w:t>
        <w:br/>
        <w:t xml:space="preserve">    "PathArithmeticAsianOption",</w:t>
        <w:br/>
        <w:t xml:space="preserve">    "PathGeometricAsianOption",</w:t>
        <w:br/>
        <w:t>]</w:t>
        <w:br/>
        <w:t>CONFIGS = [</w:t>
        <w:br/>
        <w:t xml:space="preserve">    ("Constant", "Constant", "Constant"),</w:t>
        <w:br/>
        <w:t xml:space="preserve">    ("Constant", "Heston", "Constant"),</w:t>
        <w:br/>
        <w:t xml:space="preserve">    ("Vasicek", "Constant", "Constant"),</w:t>
        <w:br/>
        <w:t xml:space="preserve">    ("Vasicek", "Heston", "Constant"),</w:t>
        <w:br/>
        <w:t xml:space="preserve">    ("Constant", "Constant", "Stochastic"),</w:t>
        <w:br/>
        <w:t xml:space="preserve">    ("Constant", "Heston", "Stochastic"),</w:t>
        <w:br/>
        <w:t xml:space="preserve">    ("Vasicek", "Heston", "Stochastic"),</w:t>
        <w:br/>
        <w:t>]</w:t>
        <w:br/>
        <w:br/>
        <w:t>CASES = [</w:t>
      </w:r>
    </w:p>
    <w:p>
      <w:pPr>
        <w:spacing w:after="60"/>
        <w:ind w:left="216" w:right="72"/>
        <w:shd w:fill="F3F4F6"/>
      </w:pPr>
      <w:r>
        <w:rPr>
          <w:rFonts w:ascii="Consolas" w:hAnsi="Consolas" w:eastAsia="Consolas"/>
          <w:sz w:val="13"/>
        </w:rPr>
        <w:t xml:space="preserve">    (</w:t>
        <w:br/>
        <w:t xml:space="preserve">        lookback,</w:t>
        <w:br/>
        <w:t xml:space="preserve">        underlying,</w:t>
        <w:br/>
        <w:t xml:space="preserve">        rate_model,</w:t>
        <w:br/>
        <w:t xml:space="preserve">        volatility_model,</w:t>
        <w:br/>
        <w:t xml:space="preserve">        sentiment_model,</w:t>
        <w:br/>
        <w:t xml:space="preserve">    )</w:t>
        <w:br/>
        <w:t xml:space="preserve">    for lookback in LOOKBACKS</w:t>
        <w:br/>
        <w:t xml:space="preserve">    for underlying in UNDERLYINGS</w:t>
        <w:br/>
        <w:t xml:space="preserve">    for (</w:t>
        <w:br/>
        <w:t xml:space="preserve">        rate_model,</w:t>
        <w:br/>
        <w:t xml:space="preserve">        volatility_model,</w:t>
        <w:br/>
        <w:t xml:space="preserve">        sentiment_model,</w:t>
        <w:br/>
        <w:t xml:space="preserve">    ) in CONFIGS</w:t>
        <w:br/>
        <w:t>]</w:t>
        <w:br/>
        <w:t>if MAX_CASES &gt; 0:</w:t>
        <w:br/>
        <w:t xml:space="preserve">    CASES = CASES[:MAX_CASES]</w:t>
        <w:br/>
        <w:br/>
        <w:br/>
        <w:t>@pytest.mark.parametrize(</w:t>
        <w:br/>
        <w:t xml:space="preserve">    "lookback,underlying,rate_model,"</w:t>
        <w:br/>
        <w:t xml:space="preserve">    "volatility_model,sentiment_model",</w:t>
        <w:br/>
        <w:t xml:space="preserve">    CASES,</w:t>
        <w:br/>
        <w:t>)</w:t>
        <w:br/>
        <w:t>def test_european_lookback_jump_catalogue_flat(</w:t>
        <w:br/>
        <w:t xml:space="preserve">    lookback,</w:t>
        <w:br/>
        <w:t xml:space="preserve">    underlying,</w:t>
        <w:br/>
        <w:t xml:space="preserve">    rate_model,</w:t>
        <w:br/>
        <w:t xml:space="preserve">    volatility_model,</w:t>
        <w:br/>
        <w:t xml:space="preserve">    sentiment_model,</w:t>
        <w:br/>
        <w:t>):</w:t>
        <w:br/>
        <w:t xml:space="preserve">    result = price(</w:t>
        <w:br/>
        <w:t xml:space="preserve">        "European",</w:t>
        <w:br/>
        <w:t xml:space="preserve">        PAYOFF,</w:t>
        <w:br/>
        <w:t xml:space="preserve">        S0=S0,</w:t>
        <w:br/>
        <w:t xml:space="preserve">        K=K,</w:t>
        <w:br/>
        <w:t xml:space="preserve">        r=R,</w:t>
        <w:br/>
        <w:t xml:space="preserve">        sigma=SIGMA,</w:t>
        <w:br/>
        <w:t xml:space="preserve">        y=0.0,</w:t>
        <w:br/>
        <w:t xml:space="preserve">        T=T,</w:t>
        <w:br/>
        <w:t xml:space="preserve">        M=M,</w:t>
        <w:br/>
        <w:t xml:space="preserve">        N=N,</w:t>
        <w:br/>
        <w:t xml:space="preserve">        seed=SEED,</w:t>
        <w:br/>
        <w:t xml:space="preserve">        underlying=underlying,</w:t>
        <w:br/>
        <w:t xml:space="preserve">        wrapper_order="Lookback on underlying",</w:t>
      </w:r>
    </w:p>
    <w:p>
      <w:pPr>
        <w:spacing w:after="60"/>
        <w:ind w:left="216" w:right="72"/>
        <w:shd w:fill="F3F4F6"/>
      </w:pPr>
      <w:r>
        <w:rPr>
          <w:rFonts w:ascii="Consolas" w:hAnsi="Consolas" w:eastAsia="Consolas"/>
          <w:sz w:val="13"/>
        </w:rPr>
        <w:t xml:space="preserve">        lookback=lookback,</w:t>
        <w:br/>
        <w:t xml:space="preserve">        jumps=True,</w:t>
        <w:br/>
        <w:t xml:space="preserve">        muJ=MUJ,</w:t>
        <w:br/>
        <w:t xml:space="preserve">        sigmaJ=SIGJ,</w:t>
        <w:br/>
        <w:t xml:space="preserve">        Lambda=LAMBDA,</w:t>
        <w:br/>
        <w:t xml:space="preserve">        rate_model=rate_model,</w:t>
        <w:br/>
        <w:t xml:space="preserve">        volatility_model=volatility_model,</w:t>
        <w:br/>
        <w:t xml:space="preserve">        dividend_model="Constant",</w:t>
        <w:br/>
        <w:t xml:space="preserve">        sentiment_model=sentiment_model,</w:t>
        <w:br/>
        <w:t xml:space="preserve">        sentiment_vol_model="Constant",</w:t>
        <w:br/>
        <w:t xml:space="preserve">        sigma_R=0.01,</w:t>
        <w:br/>
        <w:t xml:space="preserve">        rate_a=0.50,</w:t>
        <w:br/>
        <w:t xml:space="preserve">        rate_b=R,</w:t>
        <w:br/>
        <w:t xml:space="preserve">        gamma=0.30,</w:t>
        <w:br/>
        <w:t xml:space="preserve">        kappa=1.50,</w:t>
        <w:br/>
        <w:t xml:space="preserve">        theta=SIGMA * SIGMA,</w:t>
        <w:br/>
        <w:t xml:space="preserve">        sentiment0=1.0,</w:t>
        <w:br/>
        <w:t xml:space="preserve">        mu_sent=0.05,</w:t>
        <w:br/>
        <w:t xml:space="preserve">        sigma_sent=0.20,</w:t>
        <w:br/>
        <w:t xml:space="preserve">        correlation2=[</w:t>
        <w:br/>
        <w:t xml:space="preserve">            [1.0, 0.0],</w:t>
        <w:br/>
        <w:t xml:space="preserve">            [0.0, 1.0],</w:t>
        <w:br/>
        <w:t xml:space="preserve">        ],</w:t>
        <w:br/>
        <w:t xml:space="preserve">        correlation3=[</w:t>
        <w:br/>
        <w:t xml:space="preserve">            [1.0, 0.0, 0.0],</w:t>
        <w:br/>
        <w:t xml:space="preserve">            [0.0, 1.0, 0.0],</w:t>
        <w:br/>
        <w:t xml:space="preserve">            [0.0, 0.0, 1.0],</w:t>
        <w:br/>
        <w:t xml:space="preserve">        ],</w:t>
        <w:br/>
        <w:t xml:space="preserve">        greeks=False,</w:t>
        <w:br/>
        <w:t xml:space="preserve">        retained_variables=False,</w:t>
        <w:br/>
        <w:t xml:space="preserve">    )</w:t>
        <w:br/>
        <w:br/>
        <w:t xml:space="preserve">    value = float(result["price"])</w:t>
        <w:br/>
        <w:t xml:space="preserve">    standard_error = float(</w:t>
        <w:br/>
        <w:t xml:space="preserve">        result["std_error"] or 0.0</w:t>
        <w:br/>
        <w:t xml:space="preserve">    )</w:t>
        <w:br/>
        <w:br/>
        <w:t xml:space="preserve">    assert math.isfinite(value)</w:t>
        <w:br/>
        <w:t xml:space="preserve">    assert math.isfinite(standard_error)</w:t>
        <w:br/>
        <w:t xml:space="preserve">    assert value &gt;= 0.0</w:t>
        <w:br/>
        <w:t xml:space="preserve">    assert standard_error &gt;= 0.0</w:t>
        <w:br/>
        <w:br/>
        <w:t xml:space="preserve">    config = result.get("config_echo", {})</w:t>
        <w:br/>
        <w:t xml:space="preserve">    assert config.get("lookback_requested") == lookback</w:t>
        <w:br/>
        <w:t xml:space="preserve">    assert config.get("stock_jumps_enabled") is True</w:t>
      </w:r>
    </w:p>
    <w:p>
      <w:r>
        <w:br w:type="page"/>
      </w:r>
    </w:p>
    <w:p>
      <w:pPr>
        <w:pStyle w:val="Heading2"/>
      </w:pPr>
      <w:r>
        <w:t>E.9 BenchmarkNestedLookbackBarrierJumps_API_ONLY_FLAT(1).py</w:t>
      </w:r>
    </w:p>
    <w:p>
      <w:pPr>
        <w:spacing w:after="60"/>
        <w:ind w:left="216" w:right="72"/>
        <w:shd w:fill="F3F4F6"/>
      </w:pPr>
      <w:r>
        <w:rPr>
          <w:rFonts w:ascii="Consolas" w:hAnsi="Consolas" w:eastAsia="Consolas"/>
          <w:sz w:val="13"/>
        </w:rPr>
        <w:t># -*- coding: utf-8 -*-</w:t>
        <w:br/>
        <w:t>"""Flat 384-case nested lookback/barrier benchmark with stock jumps."""</w:t>
        <w:br/>
        <w:br/>
        <w:t>import math</w:t>
        <w:br/>
        <w:t>import os</w:t>
        <w:br/>
        <w:br/>
        <w:t>import pytest</w:t>
        <w:br/>
        <w:br/>
        <w:t>from optipricepropandas import price</w:t>
        <w:br/>
        <w:br/>
        <w:br/>
        <w:t>N_PATHS = int(os.getenv("BENCH_N_PATHS", "2000"))</w:t>
        <w:br/>
        <w:t>N_STEPS = int(os.getenv("BENCH_N_STEPS", "8"))</w:t>
        <w:br/>
        <w:t>T = float(os.getenv("BENCH_T", "1.0"))</w:t>
        <w:br/>
        <w:t>S0 = float(os.getenv("BENCH_S0", "100.0"))</w:t>
        <w:br/>
        <w:t>K = float(os.getenv("BENCH_K", "100.0"))</w:t>
        <w:br/>
        <w:t>R = float(os.getenv("BENCH_R", "0.05"))</w:t>
        <w:br/>
        <w:t>SIGMA = float(os.getenv("BENCH_SIGMA", "0.20"))</w:t>
        <w:br/>
        <w:t>YIELD = float(os.getenv("BENCH_Y", "0.0"))</w:t>
        <w:br/>
        <w:t>UP_BARRIER = float(</w:t>
        <w:br/>
        <w:t xml:space="preserve">    os.getenv("BENCH_UP_BARRIER", "120.0")</w:t>
        <w:br/>
        <w:t>)</w:t>
        <w:br/>
        <w:t>DOWN_BARRIER = float(</w:t>
        <w:br/>
        <w:t xml:space="preserve">    os.getenv("BENCH_DOWN_BARRIER", "85.0")</w:t>
        <w:br/>
        <w:t>)</w:t>
        <w:br/>
        <w:t>REBATE_IN = float(os.getenv("BENCH_REBATE_IN", "1.0"))</w:t>
        <w:br/>
        <w:t>REBATE_OUT = float(</w:t>
        <w:br/>
        <w:t xml:space="preserve">    os.getenv("BENCH_REBATE_OUT", "0.0")</w:t>
        <w:br/>
        <w:t>)</w:t>
        <w:br/>
        <w:t>MUJ = float(os.getenv("BENCH_MUJ", "0.1"))</w:t>
        <w:br/>
        <w:t>SIGMAJ = float(os.getenv("BENCH_SIGMAJ", "0.1"))</w:t>
        <w:br/>
        <w:t>LAMBDA = float(os.getenv("BENCH_LAMBDA", "0.1"))</w:t>
        <w:br/>
        <w:t>SEED = int(os.getenv("BENCH_SEED", "0"))</w:t>
        <w:br/>
        <w:t>BETA = float(os.getenv("BENCH_BETA", "200.0"))</w:t>
        <w:br/>
        <w:t>MAX_CASES = int(os.getenv("BENCH_MAX_CASES", "0"))</w:t>
        <w:br/>
        <w:br/>
        <w:t>ORDERS = [</w:t>
        <w:br/>
        <w:t xml:space="preserve">    "Lookback on Barrier on underlying",</w:t>
        <w:br/>
        <w:t xml:space="preserve">    "Barrier on Lookback on underlying",</w:t>
        <w:br/>
        <w:t>]</w:t>
        <w:br/>
        <w:t>UNDERLYINGS = [</w:t>
        <w:br/>
        <w:t xml:space="preserve">    "PathIndependentOption",</w:t>
        <w:br/>
        <w:t xml:space="preserve">    "PathArithmeticAsianOption",</w:t>
        <w:br/>
        <w:t xml:space="preserve">    "PathGeometricAsianOption",</w:t>
        <w:br/>
        <w:t>]</w:t>
      </w:r>
    </w:p>
    <w:p>
      <w:pPr>
        <w:spacing w:after="60"/>
        <w:ind w:left="216" w:right="72"/>
        <w:shd w:fill="F3F4F6"/>
      </w:pPr>
      <w:r>
        <w:rPr>
          <w:rFonts w:ascii="Consolas" w:hAnsi="Consolas" w:eastAsia="Consolas"/>
          <w:sz w:val="13"/>
        </w:rPr>
        <w:t>BARRIERS = [</w:t>
        <w:br/>
        <w:t xml:space="preserve">    "DownAndOutBarrier",</w:t>
        <w:br/>
        <w:t xml:space="preserve">    "DownAndInBarrier",</w:t>
        <w:br/>
        <w:t xml:space="preserve">    "UpAndOutBarrier",</w:t>
        <w:br/>
        <w:t xml:space="preserve">    "UpAndInBarrier",</w:t>
        <w:br/>
        <w:t xml:space="preserve">    "DoubleKnockInBarrier",</w:t>
        <w:br/>
        <w:t xml:space="preserve">    "DoubleKnockOutBarrier",</w:t>
        <w:br/>
        <w:t xml:space="preserve">    "UpKnockInDownKnockOutBarrier",</w:t>
        <w:br/>
        <w:t xml:space="preserve">    "UpKnockOutDownKnockInBarrier",</w:t>
        <w:br/>
        <w:t xml:space="preserve">    "DownAndOutBarrierContinuous",</w:t>
        <w:br/>
        <w:t xml:space="preserve">    "DownAndInBarrierContinuous",</w:t>
        <w:br/>
        <w:t xml:space="preserve">    "UpAndOutBarrierContinuous",</w:t>
        <w:br/>
        <w:t xml:space="preserve">    "UpAndInBarrierContinuous",</w:t>
        <w:br/>
        <w:t xml:space="preserve">    "DoubleKnockInBarrierContinuous",</w:t>
        <w:br/>
        <w:t xml:space="preserve">    "DoubleKnockOutBarrierContinuous",</w:t>
        <w:br/>
        <w:t xml:space="preserve">    "UpKnockInDownKnockOutBarrierContinuous",</w:t>
        <w:br/>
        <w:t xml:space="preserve">    "UpKnockOutDownKnockInBarrierContinuous",</w:t>
        <w:br/>
        <w:t>]</w:t>
        <w:br/>
        <w:t>LOOKBACKS = [</w:t>
        <w:br/>
        <w:t xml:space="preserve">    "LookbacksFixedStrike",</w:t>
        <w:br/>
        <w:t xml:space="preserve">    "LookbacksFloatingStrike",</w:t>
        <w:br/>
        <w:t>]</w:t>
        <w:br/>
        <w:t>PAYOFFS = ["Call", "Put"]</w:t>
        <w:br/>
        <w:br/>
        <w:t>CASES = [</w:t>
        <w:br/>
        <w:t xml:space="preserve">    (</w:t>
        <w:br/>
        <w:t xml:space="preserve">        order,</w:t>
        <w:br/>
        <w:t xml:space="preserve">        underlying,</w:t>
        <w:br/>
        <w:t xml:space="preserve">        barrier,</w:t>
        <w:br/>
        <w:t xml:space="preserve">        lookback,</w:t>
        <w:br/>
        <w:t xml:space="preserve">        payoff,</w:t>
        <w:br/>
        <w:t xml:space="preserve">    )</w:t>
        <w:br/>
        <w:t xml:space="preserve">    for order in ORDERS</w:t>
        <w:br/>
        <w:t xml:space="preserve">    for underlying in UNDERLYINGS</w:t>
        <w:br/>
        <w:t xml:space="preserve">    for barrier in BARRIERS</w:t>
        <w:br/>
        <w:t xml:space="preserve">    for lookback in LOOKBACKS</w:t>
        <w:br/>
        <w:t xml:space="preserve">    for payoff in PAYOFFS</w:t>
        <w:br/>
        <w:t>]</w:t>
        <w:br/>
        <w:br/>
        <w:t>if MAX_CASES &gt; 0:</w:t>
        <w:br/>
        <w:t xml:space="preserve">    CASES = CASES[:MAX_CASES]</w:t>
        <w:br/>
        <w:br/>
        <w:br/>
        <w:t>@pytest.mark.parametrize(</w:t>
        <w:br/>
        <w:t xml:space="preserve">    "wrapper_order,underlying,barrier,lookback,payoff",</w:t>
      </w:r>
    </w:p>
    <w:p>
      <w:pPr>
        <w:spacing w:after="60"/>
        <w:ind w:left="216" w:right="72"/>
        <w:shd w:fill="F3F4F6"/>
      </w:pPr>
      <w:r>
        <w:rPr>
          <w:rFonts w:ascii="Consolas" w:hAnsi="Consolas" w:eastAsia="Consolas"/>
          <w:sz w:val="13"/>
        </w:rPr>
        <w:t xml:space="preserve">    CASES,</w:t>
        <w:br/>
        <w:t>)</w:t>
        <w:br/>
        <w:t>def test_nested_lookback_barrier_jump_grid_flat(</w:t>
        <w:br/>
        <w:t xml:space="preserve">    wrapper_order,</w:t>
        <w:br/>
        <w:t xml:space="preserve">    underlying,</w:t>
        <w:br/>
        <w:t xml:space="preserve">    barrier,</w:t>
        <w:br/>
        <w:t xml:space="preserve">    lookback,</w:t>
        <w:br/>
        <w:t xml:space="preserve">    payoff,</w:t>
        <w:br/>
        <w:t>):</w:t>
        <w:br/>
        <w:t xml:space="preserve">    result = price(</w:t>
        <w:br/>
        <w:t xml:space="preserve">        "European",</w:t>
        <w:br/>
        <w:t xml:space="preserve">        payoff,</w:t>
        <w:br/>
        <w:t xml:space="preserve">        underlying=underlying,</w:t>
        <w:br/>
        <w:t xml:space="preserve">        wrapper_order=wrapper_order,</w:t>
        <w:br/>
        <w:t xml:space="preserve">        barrier=barrier,</w:t>
        <w:br/>
        <w:t xml:space="preserve">        lookback=lookback,</w:t>
        <w:br/>
        <w:t xml:space="preserve">        up_barrier=UP_BARRIER,</w:t>
        <w:br/>
        <w:t xml:space="preserve">        down_barrier=DOWN_BARRIER,</w:t>
        <w:br/>
        <w:t xml:space="preserve">        rebate_in=REBATE_IN,</w:t>
        <w:br/>
        <w:t xml:space="preserve">        rebate_out=REBATE_OUT,</w:t>
        <w:br/>
        <w:t xml:space="preserve">        S0=S0,</w:t>
        <w:br/>
        <w:t xml:space="preserve">        K=K,</w:t>
        <w:br/>
        <w:t xml:space="preserve">        r=R,</w:t>
        <w:br/>
        <w:t xml:space="preserve">        sigma=SIGMA,</w:t>
        <w:br/>
        <w:t xml:space="preserve">        y=YIELD,</w:t>
        <w:br/>
        <w:t xml:space="preserve">        T=T,</w:t>
        <w:br/>
        <w:t xml:space="preserve">        M=N_STEPS,</w:t>
        <w:br/>
        <w:t xml:space="preserve">        N=N_PATHS,</w:t>
        <w:br/>
        <w:t xml:space="preserve">        seed=SEED,</w:t>
        <w:br/>
        <w:t xml:space="preserve">        jumps=True,</w:t>
        <w:br/>
        <w:t xml:space="preserve">        muJ=MUJ,</w:t>
        <w:br/>
        <w:t xml:space="preserve">        sigmaJ=SIGMAJ,</w:t>
        <w:br/>
        <w:t xml:space="preserve">        Lambda=LAMBDA,</w:t>
        <w:br/>
        <w:t xml:space="preserve">        beta=BETA,</w:t>
        <w:br/>
        <w:t xml:space="preserve">        rate_model="Constant",</w:t>
        <w:br/>
        <w:t xml:space="preserve">        volatility_model="Constant",</w:t>
        <w:br/>
        <w:t xml:space="preserve">        dividend_model="Constant",</w:t>
        <w:br/>
        <w:t xml:space="preserve">        sentiment_model="Constant",</w:t>
        <w:br/>
        <w:t xml:space="preserve">        sentiment_vol_model="Constant",</w:t>
        <w:br/>
        <w:t xml:space="preserve">        random_generator="Standard",</w:t>
        <w:br/>
        <w:t xml:space="preserve">        sampling="None",</w:t>
        <w:br/>
        <w:t xml:space="preserve">        wiener="Vanilla",</w:t>
        <w:br/>
        <w:t xml:space="preserve">        greeks=False,</w:t>
        <w:br/>
        <w:t xml:space="preserve">        retained_variables=False,</w:t>
        <w:br/>
        <w:t xml:space="preserve">    )</w:t>
      </w:r>
    </w:p>
    <w:p>
      <w:pPr>
        <w:spacing w:after="60"/>
        <w:ind w:left="216" w:right="72"/>
        <w:shd w:fill="F3F4F6"/>
      </w:pPr>
      <w:r>
        <w:rPr>
          <w:rFonts w:ascii="Consolas" w:hAnsi="Consolas" w:eastAsia="Consolas"/>
          <w:sz w:val="13"/>
        </w:rPr>
        <w:br/>
        <w:t xml:space="preserve">    value = float(result["price"])</w:t>
        <w:br/>
        <w:t xml:space="preserve">    standard_error = float(</w:t>
        <w:br/>
        <w:t xml:space="preserve">        result["std_error"] or 0.0</w:t>
        <w:br/>
        <w:t xml:space="preserve">    )</w:t>
        <w:br/>
        <w:br/>
        <w:t xml:space="preserve">    assert math.isfinite(value)</w:t>
        <w:br/>
        <w:t xml:space="preserve">    assert math.isfinite(standard_error)</w:t>
        <w:br/>
        <w:t xml:space="preserve">    assert value &gt;= 0.0</w:t>
        <w:br/>
        <w:t xml:space="preserve">    assert standard_error &gt;= 0.0</w:t>
        <w:br/>
        <w:br/>
        <w:t xml:space="preserve">    config = result.get("config_echo", {})</w:t>
        <w:br/>
        <w:t xml:space="preserve">    assert config.get("wrapper_order_requested") == (</w:t>
        <w:br/>
        <w:t xml:space="preserve">        wrapper_order</w:t>
        <w:br/>
        <w:t xml:space="preserve">    )</w:t>
        <w:br/>
        <w:t xml:space="preserve">    assert config.get("barrier") == barrier</w:t>
        <w:br/>
        <w:t xml:space="preserve">    assert config.get("lookback_requested") == lookback</w:t>
        <w:br/>
        <w:t xml:space="preserve">    assert config.get("stock_jumps_enabled") is True</w:t>
      </w:r>
    </w:p>
    <w:p>
      <w:r>
        <w:br w:type="page"/>
      </w:r>
    </w:p>
    <w:p>
      <w:pPr>
        <w:pStyle w:val="Heading2"/>
      </w:pPr>
      <w:r>
        <w:t>E.10 BenchmarkNestedLookbackBarrier_FULL_API_ONLY_FLAT_NATIVE(1).py</w:t>
      </w:r>
    </w:p>
    <w:p>
      <w:pPr>
        <w:spacing w:after="60"/>
        <w:ind w:left="216" w:right="72"/>
        <w:shd w:fill="F3F4F6"/>
      </w:pPr>
      <w:r>
        <w:rPr>
          <w:rFonts w:ascii="Consolas" w:hAnsi="Consolas" w:eastAsia="Consolas"/>
          <w:sz w:val="13"/>
        </w:rPr>
        <w:t># -*- coding: utf-8 -*-</w:t>
        <w:br/>
        <w:t>"""Flat nested lookback/barrier identities and native exercise tests."""</w:t>
        <w:br/>
        <w:br/>
        <w:t>import math</w:t>
        <w:br/>
        <w:t>import os</w:t>
        <w:br/>
        <w:br/>
        <w:t>import pytest</w:t>
        <w:br/>
        <w:br/>
        <w:t>from optipricepropandas import price</w:t>
        <w:br/>
        <w:br/>
        <w:br/>
        <w:t>S0 = 100.0</w:t>
        <w:br/>
        <w:t>K = 100.0</w:t>
        <w:br/>
        <w:t>R = 0.10</w:t>
        <w:br/>
        <w:t>SIGMA = 0.30</w:t>
        <w:br/>
        <w:t>YIELD = 0.0</w:t>
        <w:br/>
        <w:t>T = 0.20</w:t>
        <w:br/>
        <w:br/>
        <w:t>UP_BARRIER = 115.0</w:t>
        <w:br/>
        <w:t>DOWN_BARRIER = 85.0</w:t>
        <w:br/>
        <w:t>ASIAN_UP = 108.0</w:t>
        <w:br/>
        <w:t>ASIAN_DOWN = 94.0</w:t>
        <w:br/>
        <w:br/>
        <w:t>M = int(os.getenv("BENCH_N_STEPS", "50"))</w:t>
        <w:br/>
        <w:t>N = int(os.getenv("BENCH_N_PATHS", "200000"))</w:t>
        <w:br/>
        <w:t>SEED = int(os.getenv("BENCH_SEED", "0"))</w:t>
        <w:br/>
        <w:t>TOL = float(os.getenv("BENCH_TOL_SE", "4.0"))</w:t>
        <w:br/>
        <w:t>DEGREE = int(os.getenv("BENCH_REG_DEGREE", "3"))</w:t>
        <w:br/>
        <w:br/>
        <w:t>LOOKBACK_CASES = [</w:t>
        <w:br/>
        <w:t xml:space="preserve">    ("Call", "LookbacksFixedStrike"),</w:t>
        <w:br/>
        <w:t xml:space="preserve">    ("Put", "LookbacksFixedStrike"),</w:t>
        <w:br/>
        <w:t xml:space="preserve">    ("Call", "LookbacksFloatingStrike"),</w:t>
        <w:br/>
        <w:t xml:space="preserve">    ("Put", "LookbacksFloatingStrike"),</w:t>
        <w:br/>
        <w:t>]</w:t>
        <w:br/>
        <w:br/>
        <w:br/>
        <w:t>@pytest.mark.parametrize(</w:t>
        <w:br/>
        <w:t xml:space="preserve">    "payoff,lookback",</w:t>
        <w:br/>
        <w:t xml:space="preserve">    LOOKBACK_CASES,</w:t>
        <w:br/>
        <w:t>)</w:t>
        <w:br/>
        <w:t>def test_wide_barrier_lookback_identity_flat(</w:t>
        <w:br/>
        <w:t xml:space="preserve">    payoff,</w:t>
        <w:br/>
        <w:t xml:space="preserve">    lookback,</w:t>
        <w:br/>
        <w:t>):</w:t>
      </w:r>
    </w:p>
    <w:p>
      <w:pPr>
        <w:spacing w:after="60"/>
        <w:ind w:left="216" w:right="72"/>
        <w:shd w:fill="F3F4F6"/>
      </w:pPr>
      <w:r>
        <w:rPr>
          <w:rFonts w:ascii="Consolas" w:hAnsi="Consolas" w:eastAsia="Consolas"/>
          <w:sz w:val="13"/>
        </w:rPr>
        <w:t xml:space="preserve">    plain = price(</w:t>
        <w:br/>
        <w:t xml:space="preserve">        "European",</w:t>
        <w:br/>
        <w:t xml:space="preserve">        payoff,</w:t>
        <w:br/>
        <w:t xml:space="preserve">        underlying="PathIndependentOption",</w:t>
        <w:br/>
        <w:t xml:space="preserve">        wrapper_order="Lookback on underlying",</w:t>
        <w:br/>
        <w:t xml:space="preserve">        lookback=lookback,</w:t>
        <w:br/>
        <w:t xml:space="preserve">        S0=S0, K=K, r=R, sigma=SIGMA,</w:t>
        <w:br/>
        <w:t xml:space="preserve">        y=YIELD, T=T, M=M, N=N, seed=SEED,</w:t>
        <w:br/>
        <w:t xml:space="preserve">        greeks=False,</w:t>
        <w:br/>
        <w:t xml:space="preserve">        retained_variables=False,</w:t>
        <w:br/>
        <w:t xml:space="preserve">    )</w:t>
        <w:br/>
        <w:br/>
        <w:t xml:space="preserve">    nested = price(</w:t>
        <w:br/>
        <w:t xml:space="preserve">        "European",</w:t>
        <w:br/>
        <w:t xml:space="preserve">        payoff,</w:t>
        <w:br/>
        <w:t xml:space="preserve">        underlying="PathIndependentOption",</w:t>
        <w:br/>
        <w:t xml:space="preserve">        wrapper_order="Lookback on Barrier on underlying",</w:t>
        <w:br/>
        <w:t xml:space="preserve">        barrier="DoubleKnockOutBarrier",</w:t>
        <w:br/>
        <w:t xml:space="preserve">        lookback=lookback,</w:t>
        <w:br/>
        <w:t xml:space="preserve">        up_barrier=1.0e9,</w:t>
        <w:br/>
        <w:t xml:space="preserve">        down_barrier=1.0e-9,</w:t>
        <w:br/>
        <w:t xml:space="preserve">        rebate_in=1.0,</w:t>
        <w:br/>
        <w:t xml:space="preserve">        rebate_out=0.0,</w:t>
        <w:br/>
        <w:t xml:space="preserve">        S0=S0, K=K, r=R, sigma=SIGMA,</w:t>
        <w:br/>
        <w:t xml:space="preserve">        y=YIELD, T=T, M=M, N=N, seed=SEED,</w:t>
        <w:br/>
        <w:t xml:space="preserve">        greeks=False,</w:t>
        <w:br/>
        <w:t xml:space="preserve">        retained_variables=False,</w:t>
        <w:br/>
        <w:t xml:space="preserve">    )</w:t>
        <w:br/>
        <w:br/>
        <w:t xml:space="preserve">    difference = (</w:t>
        <w:br/>
        <w:t xml:space="preserve">        float(nested["price"]) - float(plain["price"])</w:t>
        <w:br/>
        <w:t xml:space="preserve">    )</w:t>
        <w:br/>
        <w:t xml:space="preserve">    tolerance = TOL * math.sqrt(</w:t>
        <w:br/>
        <w:t xml:space="preserve">        float(nested["std_error"] or 0.0) ** 2</w:t>
        <w:br/>
        <w:t xml:space="preserve">        + float(plain["std_error"] or 0.0) ** 2</w:t>
        <w:br/>
        <w:t xml:space="preserve">    )</w:t>
        <w:br/>
        <w:br/>
        <w:t xml:space="preserve">    assert abs(difference) &lt;= tolerance</w:t>
        <w:br/>
        <w:br/>
        <w:br/>
        <w:t>@pytest.mark.parametrize(</w:t>
        <w:br/>
        <w:t xml:space="preserve">    "payoff,lookback",</w:t>
        <w:br/>
        <w:t xml:space="preserve">    LOOKBACK_CASES,</w:t>
        <w:br/>
        <w:t>)</w:t>
        <w:br/>
        <w:t>def test_barrier_on_lookback_in_out_parity_flat(</w:t>
      </w:r>
    </w:p>
    <w:p>
      <w:pPr>
        <w:spacing w:after="60"/>
        <w:ind w:left="216" w:right="72"/>
        <w:shd w:fill="F3F4F6"/>
      </w:pPr>
      <w:r>
        <w:rPr>
          <w:rFonts w:ascii="Consolas" w:hAnsi="Consolas" w:eastAsia="Consolas"/>
          <w:sz w:val="13"/>
        </w:rPr>
        <w:t xml:space="preserve">    payoff,</w:t>
        <w:br/>
        <w:t xml:space="preserve">    lookback,</w:t>
        <w:br/>
        <w:t>):</w:t>
        <w:br/>
        <w:t xml:space="preserve">    plain = price(</w:t>
        <w:br/>
        <w:t xml:space="preserve">        "European",</w:t>
        <w:br/>
        <w:t xml:space="preserve">        payoff,</w:t>
        <w:br/>
        <w:t xml:space="preserve">        underlying="PathIndependentOption",</w:t>
        <w:br/>
        <w:t xml:space="preserve">        wrapper_order="Lookback on underlying",</w:t>
        <w:br/>
        <w:t xml:space="preserve">        lookback=lookback,</w:t>
        <w:br/>
        <w:t xml:space="preserve">        S0=S0, K=K, r=R, sigma=SIGMA,</w:t>
        <w:br/>
        <w:t xml:space="preserve">        y=YIELD, T=T, M=M, N=N, seed=SEED,</w:t>
        <w:br/>
        <w:t xml:space="preserve">        greeks=False,</w:t>
        <w:br/>
        <w:t xml:space="preserve">        retained_variables=False,</w:t>
        <w:br/>
        <w:t xml:space="preserve">    )</w:t>
        <w:br/>
        <w:br/>
        <w:t xml:space="preserve">    out_option = price(</w:t>
        <w:br/>
        <w:t xml:space="preserve">        "European",</w:t>
        <w:br/>
        <w:t xml:space="preserve">        payoff,</w:t>
        <w:br/>
        <w:t xml:space="preserve">        underlying="PathIndependentOption",</w:t>
        <w:br/>
        <w:t xml:space="preserve">        wrapper_order="Barrier on Lookback on underlying",</w:t>
        <w:br/>
        <w:t xml:space="preserve">        barrier="DoubleKnockOutBarrier",</w:t>
        <w:br/>
        <w:t xml:space="preserve">        lookback=lookback,</w:t>
        <w:br/>
        <w:t xml:space="preserve">        up_barrier=UP_BARRIER,</w:t>
        <w:br/>
        <w:t xml:space="preserve">        down_barrier=DOWN_BARRIER,</w:t>
        <w:br/>
        <w:t xml:space="preserve">        rebate_in=1.0,</w:t>
        <w:br/>
        <w:t xml:space="preserve">        rebate_out=0.0,</w:t>
        <w:br/>
        <w:t xml:space="preserve">        S0=S0, K=K, r=R, sigma=SIGMA,</w:t>
        <w:br/>
        <w:t xml:space="preserve">        y=YIELD, T=T, M=M, N=N, seed=SEED,</w:t>
        <w:br/>
        <w:t xml:space="preserve">        greeks=False,</w:t>
        <w:br/>
        <w:t xml:space="preserve">        retained_variables=False,</w:t>
        <w:br/>
        <w:t xml:space="preserve">    )</w:t>
        <w:br/>
        <w:br/>
        <w:t xml:space="preserve">    in_option = price(</w:t>
        <w:br/>
        <w:t xml:space="preserve">        "European",</w:t>
        <w:br/>
        <w:t xml:space="preserve">        payoff,</w:t>
        <w:br/>
        <w:t xml:space="preserve">        underlying="PathIndependentOption",</w:t>
        <w:br/>
        <w:t xml:space="preserve">        wrapper_order="Barrier on Lookback on underlying",</w:t>
        <w:br/>
        <w:t xml:space="preserve">        barrier="DoubleKnockInBarrier",</w:t>
        <w:br/>
        <w:t xml:space="preserve">        lookback=lookback,</w:t>
        <w:br/>
        <w:t xml:space="preserve">        up_barrier=UP_BARRIER,</w:t>
        <w:br/>
        <w:t xml:space="preserve">        down_barrier=DOWN_BARRIER,</w:t>
        <w:br/>
        <w:t xml:space="preserve">        rebate_in=1.0,</w:t>
        <w:br/>
        <w:t xml:space="preserve">        rebate_out=0.0,</w:t>
        <w:br/>
        <w:t xml:space="preserve">        S0=S0, K=K, r=R, sigma=SIGMA,</w:t>
        <w:br/>
        <w:t xml:space="preserve">        y=YIELD, T=T, M=M, N=N, seed=SEED,</w:t>
      </w:r>
    </w:p>
    <w:p>
      <w:pPr>
        <w:spacing w:after="60"/>
        <w:ind w:left="216" w:right="72"/>
        <w:shd w:fill="F3F4F6"/>
      </w:pPr>
      <w:r>
        <w:rPr>
          <w:rFonts w:ascii="Consolas" w:hAnsi="Consolas" w:eastAsia="Consolas"/>
          <w:sz w:val="13"/>
        </w:rPr>
        <w:t xml:space="preserve">        greeks=False,</w:t>
        <w:br/>
        <w:t xml:space="preserve">        retained_variables=False,</w:t>
        <w:br/>
        <w:t xml:space="preserve">    )</w:t>
        <w:br/>
        <w:br/>
        <w:t xml:space="preserve">    difference = (</w:t>
        <w:br/>
        <w:t xml:space="preserve">        float(out_option["price"])</w:t>
        <w:br/>
        <w:t xml:space="preserve">        + float(in_option["price"])</w:t>
        <w:br/>
        <w:t xml:space="preserve">        - float(plain["price"])</w:t>
        <w:br/>
        <w:t xml:space="preserve">    )</w:t>
        <w:br/>
        <w:t xml:space="preserve">    tolerance = TOL * math.sqrt(</w:t>
        <w:br/>
        <w:t xml:space="preserve">        float(out_option["std_error"] or 0.0) ** 2</w:t>
        <w:br/>
        <w:t xml:space="preserve">        + float(in_option["std_error"] or 0.0) ** 2</w:t>
        <w:br/>
        <w:t xml:space="preserve">        + float(plain["std_error"] or 0.0) ** 2</w:t>
        <w:br/>
        <w:t xml:space="preserve">    )</w:t>
        <w:br/>
        <w:br/>
        <w:t xml:space="preserve">    assert abs(difference) &lt;= tolerance</w:t>
        <w:br/>
        <w:br/>
        <w:br/>
        <w:t>@pytest.mark.parametrize(</w:t>
        <w:br/>
        <w:t xml:space="preserve">    "underlying",</w:t>
        <w:br/>
        <w:t xml:space="preserve">    [</w:t>
        <w:br/>
        <w:t xml:space="preserve">        "PathArithmeticAsianOption",</w:t>
        <w:br/>
        <w:t xml:space="preserve">        "PathGeometricAsianOption",</w:t>
        <w:br/>
        <w:t xml:space="preserve">    ],</w:t>
        <w:br/>
        <w:t>)</w:t>
        <w:br/>
        <w:t>def test_asian_nested_compositions_flat(</w:t>
        <w:br/>
        <w:t xml:space="preserve">    underlying,</w:t>
        <w:br/>
        <w:t>):</w:t>
        <w:br/>
        <w:t xml:space="preserve">    plain = price(</w:t>
        <w:br/>
        <w:t xml:space="preserve">        "European",</w:t>
        <w:br/>
        <w:t xml:space="preserve">        "Call",</w:t>
        <w:br/>
        <w:t xml:space="preserve">        underlying=underlying,</w:t>
        <w:br/>
        <w:t xml:space="preserve">        wrapper_order="Lookback on underlying",</w:t>
        <w:br/>
        <w:t xml:space="preserve">        lookback="LookbacksFixedStrike",</w:t>
        <w:br/>
        <w:t xml:space="preserve">        S0=S0, K=K, r=R, sigma=SIGMA,</w:t>
        <w:br/>
        <w:t xml:space="preserve">        y=YIELD, T=T, M=M, N=N, seed=SEED,</w:t>
        <w:br/>
        <w:t xml:space="preserve">        greeks=False,</w:t>
        <w:br/>
        <w:t xml:space="preserve">        retained_variables=False,</w:t>
        <w:br/>
        <w:t xml:space="preserve">    )</w:t>
        <w:br/>
        <w:br/>
        <w:t xml:space="preserve">    out_option = price(</w:t>
        <w:br/>
        <w:t xml:space="preserve">        "European",</w:t>
        <w:br/>
        <w:t xml:space="preserve">        "Call",</w:t>
        <w:br/>
        <w:t xml:space="preserve">        underlying=underlying,</w:t>
        <w:br/>
        <w:t xml:space="preserve">        wrapper_order="Barrier on Lookback on underlying",</w:t>
      </w:r>
    </w:p>
    <w:p>
      <w:pPr>
        <w:spacing w:after="60"/>
        <w:ind w:left="216" w:right="72"/>
        <w:shd w:fill="F3F4F6"/>
      </w:pPr>
      <w:r>
        <w:rPr>
          <w:rFonts w:ascii="Consolas" w:hAnsi="Consolas" w:eastAsia="Consolas"/>
          <w:sz w:val="13"/>
        </w:rPr>
        <w:t xml:space="preserve">        barrier="DoubleKnockOutBarrier",</w:t>
        <w:br/>
        <w:t xml:space="preserve">        lookback="LookbacksFixedStrike",</w:t>
        <w:br/>
        <w:t xml:space="preserve">        up_barrier=ASIAN_UP,</w:t>
        <w:br/>
        <w:t xml:space="preserve">        down_barrier=ASIAN_DOWN,</w:t>
        <w:br/>
        <w:t xml:space="preserve">        S0=S0, K=K, r=R, sigma=SIGMA,</w:t>
        <w:br/>
        <w:t xml:space="preserve">        y=YIELD, T=T, M=M, N=N, seed=SEED,</w:t>
        <w:br/>
        <w:t xml:space="preserve">        greeks=False,</w:t>
        <w:br/>
        <w:t xml:space="preserve">        retained_variables=False,</w:t>
        <w:br/>
        <w:t xml:space="preserve">    )</w:t>
        <w:br/>
        <w:br/>
        <w:t xml:space="preserve">    in_option = price(</w:t>
        <w:br/>
        <w:t xml:space="preserve">        "European",</w:t>
        <w:br/>
        <w:t xml:space="preserve">        "Call",</w:t>
        <w:br/>
        <w:t xml:space="preserve">        underlying=underlying,</w:t>
        <w:br/>
        <w:t xml:space="preserve">        wrapper_order="Barrier on Lookback on underlying",</w:t>
        <w:br/>
        <w:t xml:space="preserve">        barrier="DoubleKnockInBarrier",</w:t>
        <w:br/>
        <w:t xml:space="preserve">        lookback="LookbacksFixedStrike",</w:t>
        <w:br/>
        <w:t xml:space="preserve">        up_barrier=ASIAN_UP,</w:t>
        <w:br/>
        <w:t xml:space="preserve">        down_barrier=ASIAN_DOWN,</w:t>
        <w:br/>
        <w:t xml:space="preserve">        S0=S0, K=K, r=R, sigma=SIGMA,</w:t>
        <w:br/>
        <w:t xml:space="preserve">        y=YIELD, T=T, M=M, N=N, seed=SEED,</w:t>
        <w:br/>
        <w:t xml:space="preserve">        greeks=False,</w:t>
        <w:br/>
        <w:t xml:space="preserve">        retained_variables=False,</w:t>
        <w:br/>
        <w:t xml:space="preserve">    )</w:t>
        <w:br/>
        <w:br/>
        <w:t xml:space="preserve">    difference = (</w:t>
        <w:br/>
        <w:t xml:space="preserve">        float(out_option["price"])</w:t>
        <w:br/>
        <w:t xml:space="preserve">        + float(in_option["price"])</w:t>
        <w:br/>
        <w:t xml:space="preserve">        - float(plain["price"])</w:t>
        <w:br/>
        <w:t xml:space="preserve">    )</w:t>
        <w:br/>
        <w:t xml:space="preserve">    tolerance = TOL * math.sqrt(</w:t>
        <w:br/>
        <w:t xml:space="preserve">        float(out_option["std_error"] or 0.0) ** 2</w:t>
        <w:br/>
        <w:t xml:space="preserve">        + float(in_option["std_error"] or 0.0) ** 2</w:t>
        <w:br/>
        <w:t xml:space="preserve">        + float(plain["std_error"] or 0.0) ** 2</w:t>
        <w:br/>
        <w:t xml:space="preserve">    )</w:t>
        <w:br/>
        <w:br/>
        <w:t xml:space="preserve">    assert abs(difference) &lt;= tolerance</w:t>
        <w:br/>
        <w:br/>
        <w:br/>
        <w:t>@pytest.mark.parametrize(</w:t>
        <w:br/>
        <w:t xml:space="preserve">    "underlying",</w:t>
        <w:br/>
        <w:t xml:space="preserve">    [</w:t>
        <w:br/>
        <w:t xml:space="preserve">        "PathIndependentOption",</w:t>
        <w:br/>
        <w:t xml:space="preserve">        "PathArithmeticAsianOption",</w:t>
        <w:br/>
        <w:t xml:space="preserve">    ],</w:t>
      </w:r>
    </w:p>
    <w:p>
      <w:pPr>
        <w:spacing w:after="60"/>
        <w:ind w:left="216" w:right="72"/>
        <w:shd w:fill="F3F4F6"/>
      </w:pPr>
      <w:r>
        <w:rPr>
          <w:rFonts w:ascii="Consolas" w:hAnsi="Consolas" w:eastAsia="Consolas"/>
          <w:sz w:val="13"/>
        </w:rPr>
        <w:t>)</w:t>
        <w:br/>
        <w:t>def test_native_fixed_lookback_exercise_ordering_flat(</w:t>
        <w:br/>
        <w:t xml:space="preserve">    underlying,</w:t>
        <w:br/>
        <w:t>):</w:t>
        <w:br/>
        <w:t xml:space="preserve">    european = price(</w:t>
        <w:br/>
        <w:t xml:space="preserve">        "European",</w:t>
        <w:br/>
        <w:t xml:space="preserve">        "Call",</w:t>
        <w:br/>
        <w:t xml:space="preserve">        underlying=underlying,</w:t>
        <w:br/>
        <w:t xml:space="preserve">        wrapper_order="Barrier on Lookback on underlying",</w:t>
        <w:br/>
        <w:t xml:space="preserve">        barrier="DoubleKnockOutBarrier",</w:t>
        <w:br/>
        <w:t xml:space="preserve">        lookback="LookbacksFixedStrike",</w:t>
        <w:br/>
        <w:t xml:space="preserve">        up_barrier=(</w:t>
        <w:br/>
        <w:t xml:space="preserve">            ASIAN_UP</w:t>
        <w:br/>
        <w:t xml:space="preserve">            if underlying == "PathArithmeticAsianOption"</w:t>
        <w:br/>
        <w:t xml:space="preserve">            else UP_BARRIER</w:t>
        <w:br/>
        <w:t xml:space="preserve">        ),</w:t>
        <w:br/>
        <w:t xml:space="preserve">        down_barrier=(</w:t>
        <w:br/>
        <w:t xml:space="preserve">            ASIAN_DOWN</w:t>
        <w:br/>
        <w:t xml:space="preserve">            if underlying == "PathArithmeticAsianOption"</w:t>
        <w:br/>
        <w:t xml:space="preserve">            else DOWN_BARRIER</w:t>
        <w:br/>
        <w:t xml:space="preserve">        ),</w:t>
        <w:br/>
        <w:t xml:space="preserve">        S0=S0, K=K, r=R, sigma=SIGMA,</w:t>
        <w:br/>
        <w:t xml:space="preserve">        y=YIELD, T=T, M=M, N=N, seed=SEED,</w:t>
        <w:br/>
        <w:t xml:space="preserve">        regression_degree=DEGREE,</w:t>
        <w:br/>
        <w:t xml:space="preserve">        greeks=False,</w:t>
        <w:br/>
        <w:t xml:space="preserve">        retained_variables=False,</w:t>
        <w:br/>
        <w:t xml:space="preserve">    )</w:t>
        <w:br/>
        <w:br/>
        <w:t xml:space="preserve">    bermudan = price(</w:t>
        <w:br/>
        <w:t xml:space="preserve">        "LookbackBermudaOptionFixedStrike",</w:t>
        <w:br/>
        <w:t xml:space="preserve">        "Call",</w:t>
        <w:br/>
        <w:t xml:space="preserve">        underlying=underlying,</w:t>
        <w:br/>
        <w:t xml:space="preserve">        wrapper_order="Barrier on Lookback on underlying",</w:t>
        <w:br/>
        <w:t xml:space="preserve">        barrier="DoubleKnockOutBarrier",</w:t>
        <w:br/>
        <w:t xml:space="preserve">        lookback="LookbacksFixedStrike",</w:t>
        <w:br/>
        <w:t xml:space="preserve">        up_barrier=(</w:t>
        <w:br/>
        <w:t xml:space="preserve">            ASIAN_UP</w:t>
        <w:br/>
        <w:t xml:space="preserve">            if underlying == "PathArithmeticAsianOption"</w:t>
        <w:br/>
        <w:t xml:space="preserve">            else UP_BARRIER</w:t>
        <w:br/>
        <w:t xml:space="preserve">        ),</w:t>
        <w:br/>
        <w:t xml:space="preserve">        down_barrier=(</w:t>
        <w:br/>
        <w:t xml:space="preserve">            ASIAN_DOWN</w:t>
        <w:br/>
        <w:t xml:space="preserve">            if underlying == "PathArithmeticAsianOption"</w:t>
        <w:br/>
        <w:t xml:space="preserve">            else DOWN_BARRIER</w:t>
        <w:br/>
        <w:t xml:space="preserve">        ),</w:t>
      </w:r>
    </w:p>
    <w:p>
      <w:pPr>
        <w:spacing w:after="60"/>
        <w:ind w:left="216" w:right="72"/>
        <w:shd w:fill="F3F4F6"/>
      </w:pPr>
      <w:r>
        <w:rPr>
          <w:rFonts w:ascii="Consolas" w:hAnsi="Consolas" w:eastAsia="Consolas"/>
          <w:sz w:val="13"/>
        </w:rPr>
        <w:t xml:space="preserve">        S0=S0, K=K, r=R, sigma=SIGMA,</w:t>
        <w:br/>
        <w:t xml:space="preserve">        y=YIELD, T=T, M=M, N=N, seed=SEED,</w:t>
        <w:br/>
        <w:t xml:space="preserve">        regression_degree=DEGREE,</w:t>
        <w:br/>
        <w:t xml:space="preserve">        num_exercise_points=min(10, M),</w:t>
        <w:br/>
        <w:t xml:space="preserve">        greeks=False,</w:t>
        <w:br/>
        <w:t xml:space="preserve">        retained_variables=False,</w:t>
        <w:br/>
        <w:t xml:space="preserve">    )</w:t>
        <w:br/>
        <w:br/>
        <w:t xml:space="preserve">    american = price(</w:t>
        <w:br/>
        <w:t xml:space="preserve">        "LookBackAmericanOptionFixedStrike",</w:t>
        <w:br/>
        <w:t xml:space="preserve">        "Call",</w:t>
        <w:br/>
        <w:t xml:space="preserve">        underlying=underlying,</w:t>
        <w:br/>
        <w:t xml:space="preserve">        wrapper_order="Barrier on Lookback on underlying",</w:t>
        <w:br/>
        <w:t xml:space="preserve">        barrier="DoubleKnockOutBarrier",</w:t>
        <w:br/>
        <w:t xml:space="preserve">        lookback="LookbacksFixedStrike",</w:t>
        <w:br/>
        <w:t xml:space="preserve">        up_barrier=(</w:t>
        <w:br/>
        <w:t xml:space="preserve">            ASIAN_UP</w:t>
        <w:br/>
        <w:t xml:space="preserve">            if underlying == "PathArithmeticAsianOption"</w:t>
        <w:br/>
        <w:t xml:space="preserve">            else UP_BARRIER</w:t>
        <w:br/>
        <w:t xml:space="preserve">        ),</w:t>
        <w:br/>
        <w:t xml:space="preserve">        down_barrier=(</w:t>
        <w:br/>
        <w:t xml:space="preserve">            ASIAN_DOWN</w:t>
        <w:br/>
        <w:t xml:space="preserve">            if underlying == "PathArithmeticAsianOption"</w:t>
        <w:br/>
        <w:t xml:space="preserve">            else DOWN_BARRIER</w:t>
        <w:br/>
        <w:t xml:space="preserve">        ),</w:t>
        <w:br/>
        <w:t xml:space="preserve">        S0=S0, K=K, r=R, sigma=SIGMA,</w:t>
        <w:br/>
        <w:t xml:space="preserve">        y=YIELD, T=T, M=M, N=N, seed=SEED,</w:t>
        <w:br/>
        <w:t xml:space="preserve">        regression_degree=DEGREE,</w:t>
        <w:br/>
        <w:t xml:space="preserve">        num_exercise_points=M,</w:t>
        <w:br/>
        <w:t xml:space="preserve">        greeks=False,</w:t>
        <w:br/>
        <w:t xml:space="preserve">        retained_variables=False,</w:t>
        <w:br/>
        <w:t xml:space="preserve">    )</w:t>
        <w:br/>
        <w:br/>
        <w:t xml:space="preserve">    european_value = float(european["price"])</w:t>
        <w:br/>
        <w:t xml:space="preserve">    bermudan_value = float(bermudan["price"])</w:t>
        <w:br/>
        <w:t xml:space="preserve">    american_value = float(american["price"])</w:t>
        <w:br/>
        <w:br/>
        <w:t xml:space="preserve">    assert bermudan_value &gt;= (</w:t>
        <w:br/>
        <w:t xml:space="preserve">        european_value</w:t>
        <w:br/>
        <w:t xml:space="preserve">        - 0.015 * max(european_value, 1.0)</w:t>
        <w:br/>
        <w:t xml:space="preserve">    )</w:t>
        <w:br/>
        <w:t xml:space="preserve">    assert american_value &gt;= (</w:t>
        <w:br/>
        <w:t xml:space="preserve">        bermudan_value</w:t>
        <w:br/>
        <w:t xml:space="preserve">        - 0.015 * max(bermudan_value, 1.0)</w:t>
        <w:br/>
        <w:t xml:space="preserve">    )</w:t>
      </w:r>
    </w:p>
    <w:p>
      <w:pPr>
        <w:spacing w:after="60"/>
        <w:ind w:left="216" w:right="72"/>
        <w:shd w:fill="F3F4F6"/>
      </w:pPr>
      <w:r>
        <w:rPr>
          <w:rFonts w:ascii="Consolas" w:hAnsi="Consolas" w:eastAsia="Consolas"/>
          <w:sz w:val="13"/>
        </w:rPr>
        <w:br/>
        <w:t xml:space="preserve">    assert bermudan.get("config_echo", {}).get(</w:t>
        <w:br/>
        <w:t xml:space="preserve">        "exercise"</w:t>
        <w:br/>
        <w:t xml:space="preserve">    ) == "LookbackBermudaOptionFixedStrike"</w:t>
        <w:br/>
        <w:t xml:space="preserve">    assert american.get("config_echo", {}).get(</w:t>
        <w:br/>
        <w:t xml:space="preserve">        "exercise"</w:t>
        <w:br/>
        <w:t xml:space="preserve">    ) == "LookBackAmericanOptionFixedStrike"</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OptiPricePro Pandas User Guide - Comprehensive edition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OptiPricePro Pandas |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E74B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444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ptos" w:hAnsi="Aptos"/>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60" w:after="100"/>
      <w:ind w:left="288" w:right="288"/>
      <w:shd w:fill="F2F2F2"/>
    </w:pPr>
    <w:rPr>
      <w:rFonts w:ascii="Consolas" w:hAnsi="Consolas"/>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OptiPricePro Pandas Customer Installation and Comprehensive User Guide</dc:title>
  <dc:subject>Customer installation, API-key activation, secure wheel usage, pricing models and validation workflows</dc:subject>
  <dc:creator>OptiPricePro</dc:creator>
  <cp:keywords>option pricing, Monte Carlo, FastAPI, Heston, CIR, dividends, barriers, LSM, API tutorials</cp:keywords>
  <dc:description>Revised to describe the commercial wheel and hosted authenticated deployment.</dc:description>
  <cp:lastModifiedBy/>
  <cp:revision>1</cp:revision>
  <dcterms:created xsi:type="dcterms:W3CDTF">2013-12-23T23:15:00Z</dcterms:created>
  <dcterms:modified xsi:type="dcterms:W3CDTF">2013-12-23T23:15:00Z</dcterms:modified>
  <cp:category/>
</cp:coreProperties>
</file>