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EF8CD" w14:textId="77777777" w:rsidR="008B7804" w:rsidRDefault="00000000">
      <w:pPr>
        <w:spacing w:before="2100" w:after="200"/>
        <w:jc w:val="center"/>
      </w:pPr>
      <w:proofErr w:type="spellStart"/>
      <w:r>
        <w:rPr>
          <w:b/>
          <w:bCs/>
          <w:sz w:val="52"/>
          <w:szCs w:val="52"/>
        </w:rPr>
        <w:t>OptiPricePro</w:t>
      </w:r>
      <w:proofErr w:type="spellEnd"/>
      <w:r>
        <w:rPr>
          <w:b/>
          <w:bCs/>
          <w:sz w:val="52"/>
          <w:szCs w:val="52"/>
        </w:rPr>
        <w:t xml:space="preserve"> Pandas Studio</w:t>
      </w:r>
    </w:p>
    <w:p w14:paraId="0F7B80CE" w14:textId="77777777" w:rsidR="008B7804" w:rsidRDefault="00000000">
      <w:pPr>
        <w:spacing w:after="300"/>
        <w:jc w:val="center"/>
      </w:pPr>
      <w:r>
        <w:rPr>
          <w:color w:val="444444"/>
          <w:sz w:val="28"/>
          <w:szCs w:val="28"/>
        </w:rPr>
        <w:t>User Guide</w:t>
      </w:r>
    </w:p>
    <w:p w14:paraId="10091862" w14:textId="77777777" w:rsidR="008B7804" w:rsidRDefault="00000000">
      <w:pPr>
        <w:spacing w:after="60"/>
        <w:jc w:val="center"/>
      </w:pPr>
      <w:r>
        <w:rPr>
          <w:color w:val="666666"/>
          <w:sz w:val="20"/>
          <w:szCs w:val="20"/>
        </w:rPr>
        <w:t>Studio 1.0.1  ·  Pricing service API 2.2  ·  July 2026</w:t>
      </w:r>
    </w:p>
    <w:p w14:paraId="47F92E42" w14:textId="77777777" w:rsidR="008B7804" w:rsidRDefault="00000000">
      <w:pPr>
        <w:spacing w:after="60"/>
        <w:jc w:val="center"/>
      </w:pPr>
      <w:r>
        <w:rPr>
          <w:color w:val="666666"/>
          <w:sz w:val="20"/>
          <w:szCs w:val="20"/>
        </w:rPr>
        <w:t>Asteroid Belt Trading Company Limited</w:t>
      </w:r>
    </w:p>
    <w:p w14:paraId="3D707ED5" w14:textId="77777777" w:rsidR="008B7804" w:rsidRDefault="00000000">
      <w:r>
        <w:br w:type="page"/>
      </w:r>
    </w:p>
    <w:p w14:paraId="1FBE7797" w14:textId="77777777" w:rsidR="008B7804" w:rsidRDefault="00000000">
      <w:pPr>
        <w:pStyle w:val="Heading1"/>
        <w:spacing w:before="320" w:after="140"/>
      </w:pPr>
      <w:r>
        <w:lastRenderedPageBreak/>
        <w:t>1. Overview</w:t>
      </w:r>
    </w:p>
    <w:p w14:paraId="68FE96E6" w14:textId="77777777" w:rsidR="008B7804" w:rsidRDefault="00000000">
      <w:pPr>
        <w:spacing w:after="120"/>
      </w:pPr>
      <w:r>
        <w:t xml:space="preserve">Studio is a graphical workbench for the </w:t>
      </w:r>
      <w:proofErr w:type="spellStart"/>
      <w:r>
        <w:t>OptiPricePro</w:t>
      </w:r>
      <w:proofErr w:type="spellEnd"/>
      <w:r>
        <w:t xml:space="preserve"> pricing service. Everything the pricing interface supports can be built here without writing code: European, American, Bermudan and native lookback exercise; vanilla, digital and Asian </w:t>
      </w:r>
      <w:proofErr w:type="spellStart"/>
      <w:r>
        <w:t>underlyings</w:t>
      </w:r>
      <w:proofErr w:type="spellEnd"/>
      <w:r>
        <w:t>; barrier and lookback wrappers in either nesting order; stochastic rates, volatility, dividends and sentiment; stock jumps; quasi-random and variance-reduction simulation; importance sampling; control variates; and finite-difference Greeks.</w:t>
      </w:r>
    </w:p>
    <w:p w14:paraId="09EFD47E" w14:textId="77777777" w:rsidR="008B7804" w:rsidRDefault="00000000">
      <w:pPr>
        <w:spacing w:after="120"/>
      </w:pPr>
      <w:r>
        <w:t>No pricing is performed on your machine. Studio assembles your choices into a request, sends it to the service over HTTPS, and displays the returned price, standard error and diagnostics. Results are deterministic: the same settings with the same seed always produce the same number.</w:t>
      </w:r>
    </w:p>
    <w:p w14:paraId="50B79E92" w14:textId="77777777" w:rsidR="008B7804" w:rsidRDefault="00000000">
      <w:pPr>
        <w:pStyle w:val="Heading1"/>
        <w:spacing w:before="320" w:after="140"/>
      </w:pPr>
      <w:r>
        <w:t>2. The screen</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360"/>
      </w:tblGrid>
      <w:tr w:rsidR="008B7804" w14:paraId="13677840" w14:textId="77777777">
        <w:tblPrEx>
          <w:tblCellMar>
            <w:top w:w="0" w:type="dxa"/>
            <w:bottom w:w="0" w:type="dxa"/>
          </w:tblCellMar>
        </w:tblPrEx>
        <w:tc>
          <w:tcPr>
            <w:tcW w:w="2400" w:type="dxa"/>
            <w:shd w:val="clear" w:color="auto" w:fill="1F3864"/>
            <w:tcMar>
              <w:top w:w="60" w:type="dxa"/>
              <w:left w:w="100" w:type="dxa"/>
              <w:bottom w:w="60" w:type="dxa"/>
              <w:right w:w="100" w:type="dxa"/>
            </w:tcMar>
          </w:tcPr>
          <w:p w14:paraId="2F4B14BE" w14:textId="77777777" w:rsidR="008B7804" w:rsidRDefault="00000000">
            <w:r>
              <w:rPr>
                <w:b/>
                <w:bCs/>
                <w:color w:val="FFFFFF"/>
                <w:sz w:val="18"/>
                <w:szCs w:val="18"/>
              </w:rPr>
              <w:t>Area</w:t>
            </w:r>
          </w:p>
        </w:tc>
        <w:tc>
          <w:tcPr>
            <w:tcW w:w="7360" w:type="dxa"/>
            <w:shd w:val="clear" w:color="auto" w:fill="1F3864"/>
            <w:tcMar>
              <w:top w:w="60" w:type="dxa"/>
              <w:left w:w="100" w:type="dxa"/>
              <w:bottom w:w="60" w:type="dxa"/>
              <w:right w:w="100" w:type="dxa"/>
            </w:tcMar>
          </w:tcPr>
          <w:p w14:paraId="6E677E5C" w14:textId="77777777" w:rsidR="008B7804" w:rsidRDefault="00000000">
            <w:r>
              <w:rPr>
                <w:b/>
                <w:bCs/>
                <w:color w:val="FFFFFF"/>
                <w:sz w:val="18"/>
                <w:szCs w:val="18"/>
              </w:rPr>
              <w:t>Contents</w:t>
            </w:r>
          </w:p>
        </w:tc>
      </w:tr>
      <w:tr w:rsidR="008B7804" w14:paraId="698CB45A" w14:textId="77777777">
        <w:tblPrEx>
          <w:tblCellMar>
            <w:top w:w="0" w:type="dxa"/>
            <w:bottom w:w="0" w:type="dxa"/>
          </w:tblCellMar>
        </w:tblPrEx>
        <w:tc>
          <w:tcPr>
            <w:tcW w:w="2400" w:type="dxa"/>
            <w:tcMar>
              <w:top w:w="60" w:type="dxa"/>
              <w:left w:w="100" w:type="dxa"/>
              <w:bottom w:w="60" w:type="dxa"/>
              <w:right w:w="100" w:type="dxa"/>
            </w:tcMar>
          </w:tcPr>
          <w:p w14:paraId="037CE73A" w14:textId="77777777" w:rsidR="008B7804" w:rsidRDefault="00000000">
            <w:r>
              <w:rPr>
                <w:color w:val="000000"/>
                <w:sz w:val="18"/>
                <w:szCs w:val="18"/>
              </w:rPr>
              <w:t>Sidebar (left)</w:t>
            </w:r>
          </w:p>
        </w:tc>
        <w:tc>
          <w:tcPr>
            <w:tcW w:w="7360" w:type="dxa"/>
            <w:tcMar>
              <w:top w:w="60" w:type="dxa"/>
              <w:left w:w="100" w:type="dxa"/>
              <w:bottom w:w="60" w:type="dxa"/>
              <w:right w:w="100" w:type="dxa"/>
            </w:tcMar>
          </w:tcPr>
          <w:p w14:paraId="69BF437B" w14:textId="77777777" w:rsidR="008B7804" w:rsidRDefault="00000000">
            <w:r>
              <w:rPr>
                <w:color w:val="000000"/>
                <w:sz w:val="18"/>
                <w:szCs w:val="18"/>
              </w:rPr>
              <w:t>Every input, grouped from licence and simulation at the top through product, models, variance reduction and sensitivities, ending with the three action buttons.</w:t>
            </w:r>
          </w:p>
        </w:tc>
      </w:tr>
      <w:tr w:rsidR="008B7804" w14:paraId="1ADE2197" w14:textId="77777777">
        <w:tblPrEx>
          <w:tblCellMar>
            <w:top w:w="0" w:type="dxa"/>
            <w:bottom w:w="0" w:type="dxa"/>
          </w:tblCellMar>
        </w:tblPrEx>
        <w:tc>
          <w:tcPr>
            <w:tcW w:w="2400" w:type="dxa"/>
            <w:tcMar>
              <w:top w:w="60" w:type="dxa"/>
              <w:left w:w="100" w:type="dxa"/>
              <w:bottom w:w="60" w:type="dxa"/>
              <w:right w:w="100" w:type="dxa"/>
            </w:tcMar>
          </w:tcPr>
          <w:p w14:paraId="55EFC566" w14:textId="77777777" w:rsidR="008B7804" w:rsidRDefault="00000000">
            <w:r>
              <w:rPr>
                <w:color w:val="000000"/>
                <w:sz w:val="18"/>
                <w:szCs w:val="18"/>
              </w:rPr>
              <w:t>Header (main)</w:t>
            </w:r>
          </w:p>
        </w:tc>
        <w:tc>
          <w:tcPr>
            <w:tcW w:w="7360" w:type="dxa"/>
            <w:tcMar>
              <w:top w:w="60" w:type="dxa"/>
              <w:left w:w="100" w:type="dxa"/>
              <w:bottom w:w="60" w:type="dxa"/>
              <w:right w:w="100" w:type="dxa"/>
            </w:tcMar>
          </w:tcPr>
          <w:p w14:paraId="6A74B8B0" w14:textId="77777777" w:rsidR="008B7804" w:rsidRDefault="00000000">
            <w:r>
              <w:rPr>
                <w:color w:val="000000"/>
                <w:sz w:val="18"/>
                <w:szCs w:val="18"/>
              </w:rPr>
              <w:t>The product title and a summary table of the contract you have specified.</w:t>
            </w:r>
          </w:p>
        </w:tc>
      </w:tr>
      <w:tr w:rsidR="008B7804" w14:paraId="0D522746" w14:textId="77777777">
        <w:tblPrEx>
          <w:tblCellMar>
            <w:top w:w="0" w:type="dxa"/>
            <w:bottom w:w="0" w:type="dxa"/>
          </w:tblCellMar>
        </w:tblPrEx>
        <w:tc>
          <w:tcPr>
            <w:tcW w:w="2400" w:type="dxa"/>
            <w:tcMar>
              <w:top w:w="60" w:type="dxa"/>
              <w:left w:w="100" w:type="dxa"/>
              <w:bottom w:w="60" w:type="dxa"/>
              <w:right w:w="100" w:type="dxa"/>
            </w:tcMar>
          </w:tcPr>
          <w:p w14:paraId="56BB55AD" w14:textId="77777777" w:rsidR="008B7804" w:rsidRDefault="00000000">
            <w:r>
              <w:rPr>
                <w:color w:val="000000"/>
                <w:sz w:val="18"/>
                <w:szCs w:val="18"/>
              </w:rPr>
              <w:t>Request sent to price()</w:t>
            </w:r>
          </w:p>
        </w:tc>
        <w:tc>
          <w:tcPr>
            <w:tcW w:w="7360" w:type="dxa"/>
            <w:tcMar>
              <w:top w:w="60" w:type="dxa"/>
              <w:left w:w="100" w:type="dxa"/>
              <w:bottom w:w="60" w:type="dxa"/>
              <w:right w:w="100" w:type="dxa"/>
            </w:tcMar>
          </w:tcPr>
          <w:p w14:paraId="6BD2B40C" w14:textId="77777777" w:rsidR="008B7804" w:rsidRDefault="00000000">
            <w:r>
              <w:rPr>
                <w:color w:val="000000"/>
                <w:sz w:val="18"/>
                <w:szCs w:val="18"/>
              </w:rPr>
              <w:t>An expandable panel with the exact request, useful for support and for reproducing a run in code.</w:t>
            </w:r>
          </w:p>
        </w:tc>
      </w:tr>
      <w:tr w:rsidR="008B7804" w14:paraId="6AB83F28" w14:textId="77777777">
        <w:tblPrEx>
          <w:tblCellMar>
            <w:top w:w="0" w:type="dxa"/>
            <w:bottom w:w="0" w:type="dxa"/>
          </w:tblCellMar>
        </w:tblPrEx>
        <w:tc>
          <w:tcPr>
            <w:tcW w:w="2400" w:type="dxa"/>
            <w:tcMar>
              <w:top w:w="60" w:type="dxa"/>
              <w:left w:w="100" w:type="dxa"/>
              <w:bottom w:w="60" w:type="dxa"/>
              <w:right w:w="100" w:type="dxa"/>
            </w:tcMar>
          </w:tcPr>
          <w:p w14:paraId="23B96619" w14:textId="77777777" w:rsidR="008B7804" w:rsidRDefault="00000000">
            <w:r>
              <w:rPr>
                <w:color w:val="000000"/>
                <w:sz w:val="18"/>
                <w:szCs w:val="18"/>
              </w:rPr>
              <w:t>Results</w:t>
            </w:r>
          </w:p>
        </w:tc>
        <w:tc>
          <w:tcPr>
            <w:tcW w:w="7360" w:type="dxa"/>
            <w:tcMar>
              <w:top w:w="60" w:type="dxa"/>
              <w:left w:w="100" w:type="dxa"/>
              <w:bottom w:w="60" w:type="dxa"/>
              <w:right w:w="100" w:type="dxa"/>
            </w:tcMar>
          </w:tcPr>
          <w:p w14:paraId="1A8E935E" w14:textId="77777777" w:rsidR="008B7804" w:rsidRDefault="00000000">
            <w:r>
              <w:rPr>
                <w:color w:val="000000"/>
                <w:sz w:val="18"/>
                <w:szCs w:val="18"/>
              </w:rPr>
              <w:t>Price and standard error, variance-reduction diagnostics, Greeks when requested, and the resolved configuration.</w:t>
            </w:r>
          </w:p>
        </w:tc>
      </w:tr>
    </w:tbl>
    <w:p w14:paraId="395BE2B5" w14:textId="77777777" w:rsidR="008B7804" w:rsidRDefault="00000000">
      <w:pPr>
        <w:spacing w:after="120"/>
      </w:pPr>
      <w:r>
        <w:rPr>
          <w:b/>
          <w:bCs/>
        </w:rPr>
        <w:t>Always read the summary table before pricing.</w:t>
      </w:r>
      <w:r>
        <w:t xml:space="preserve"> It states the exercise style, underlying, wrapper order, barrier and lookback actually being sent — the quickest way to catch a mis-selection.</w:t>
      </w:r>
    </w:p>
    <w:p w14:paraId="1515194A" w14:textId="77777777" w:rsidR="008B7804" w:rsidRDefault="00000000">
      <w:pPr>
        <w:pStyle w:val="Heading1"/>
        <w:spacing w:before="320" w:after="140"/>
      </w:pPr>
      <w:r>
        <w:t>3. Licence</w:t>
      </w:r>
    </w:p>
    <w:p w14:paraId="6577F60F" w14:textId="77777777" w:rsidR="008B7804" w:rsidRDefault="00000000">
      <w:pPr>
        <w:spacing w:after="120"/>
      </w:pPr>
      <w:r>
        <w:t xml:space="preserve">Enter your Studio key in the sidebar, or set </w:t>
      </w:r>
      <w:r>
        <w:rPr>
          <w:rFonts w:ascii="Consolas" w:eastAsia="Consolas" w:hAnsi="Consolas" w:cs="Consolas"/>
        </w:rPr>
        <w:t>OPTIPRICEPRO_STUDIO_API_KEY</w:t>
      </w:r>
      <w:r>
        <w:t xml:space="preserve"> before launching. The service endpoint is shown beneath the field. Each successful pricing request counts once against your quota; failed requests do not.</w:t>
      </w:r>
    </w:p>
    <w:p w14:paraId="462796E8" w14:textId="77777777" w:rsidR="008B7804" w:rsidRDefault="00000000">
      <w:pPr>
        <w:pStyle w:val="Heading1"/>
        <w:spacing w:before="320" w:after="140"/>
      </w:pPr>
      <w:r>
        <w:t>4. Simulation settings</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160"/>
      </w:tblGrid>
      <w:tr w:rsidR="008B7804" w14:paraId="43EE95B0" w14:textId="77777777">
        <w:tblPrEx>
          <w:tblCellMar>
            <w:top w:w="0" w:type="dxa"/>
            <w:bottom w:w="0" w:type="dxa"/>
          </w:tblCellMar>
        </w:tblPrEx>
        <w:tc>
          <w:tcPr>
            <w:tcW w:w="2600" w:type="dxa"/>
            <w:shd w:val="clear" w:color="auto" w:fill="1F3864"/>
            <w:tcMar>
              <w:top w:w="60" w:type="dxa"/>
              <w:left w:w="100" w:type="dxa"/>
              <w:bottom w:w="60" w:type="dxa"/>
              <w:right w:w="100" w:type="dxa"/>
            </w:tcMar>
          </w:tcPr>
          <w:p w14:paraId="77D52CFA" w14:textId="77777777" w:rsidR="008B7804" w:rsidRDefault="00000000">
            <w:r>
              <w:rPr>
                <w:b/>
                <w:bCs/>
                <w:color w:val="FFFFFF"/>
                <w:sz w:val="18"/>
                <w:szCs w:val="18"/>
              </w:rPr>
              <w:t>Setting</w:t>
            </w:r>
          </w:p>
        </w:tc>
        <w:tc>
          <w:tcPr>
            <w:tcW w:w="7160" w:type="dxa"/>
            <w:shd w:val="clear" w:color="auto" w:fill="1F3864"/>
            <w:tcMar>
              <w:top w:w="60" w:type="dxa"/>
              <w:left w:w="100" w:type="dxa"/>
              <w:bottom w:w="60" w:type="dxa"/>
              <w:right w:w="100" w:type="dxa"/>
            </w:tcMar>
          </w:tcPr>
          <w:p w14:paraId="482B65D6" w14:textId="77777777" w:rsidR="008B7804" w:rsidRDefault="00000000">
            <w:r>
              <w:rPr>
                <w:b/>
                <w:bCs/>
                <w:color w:val="FFFFFF"/>
                <w:sz w:val="18"/>
                <w:szCs w:val="18"/>
              </w:rPr>
              <w:t>Meaning and guidance</w:t>
            </w:r>
          </w:p>
        </w:tc>
      </w:tr>
      <w:tr w:rsidR="008B7804" w14:paraId="6F8CDFDA" w14:textId="77777777">
        <w:tblPrEx>
          <w:tblCellMar>
            <w:top w:w="0" w:type="dxa"/>
            <w:bottom w:w="0" w:type="dxa"/>
          </w:tblCellMar>
        </w:tblPrEx>
        <w:tc>
          <w:tcPr>
            <w:tcW w:w="2600" w:type="dxa"/>
            <w:tcMar>
              <w:top w:w="60" w:type="dxa"/>
              <w:left w:w="100" w:type="dxa"/>
              <w:bottom w:w="60" w:type="dxa"/>
              <w:right w:w="100" w:type="dxa"/>
            </w:tcMar>
          </w:tcPr>
          <w:p w14:paraId="32F15DB3" w14:textId="77777777" w:rsidR="008B7804" w:rsidRDefault="00000000">
            <w:r>
              <w:rPr>
                <w:color w:val="000000"/>
                <w:sz w:val="18"/>
                <w:szCs w:val="18"/>
              </w:rPr>
              <w:t>Number of intervals (M)</w:t>
            </w:r>
          </w:p>
        </w:tc>
        <w:tc>
          <w:tcPr>
            <w:tcW w:w="7160" w:type="dxa"/>
            <w:tcMar>
              <w:top w:w="60" w:type="dxa"/>
              <w:left w:w="100" w:type="dxa"/>
              <w:bottom w:w="60" w:type="dxa"/>
              <w:right w:w="100" w:type="dxa"/>
            </w:tcMar>
          </w:tcPr>
          <w:p w14:paraId="70A470EB" w14:textId="77777777" w:rsidR="008B7804" w:rsidRDefault="00000000">
            <w:r>
              <w:rPr>
                <w:color w:val="000000"/>
                <w:sz w:val="18"/>
                <w:szCs w:val="18"/>
              </w:rPr>
              <w:t>Time steps per path. Governs monitoring frequency for barriers, Asians and lookbacks, and the number of exercise dates available.</w:t>
            </w:r>
          </w:p>
        </w:tc>
      </w:tr>
      <w:tr w:rsidR="008B7804" w14:paraId="07503476" w14:textId="77777777">
        <w:tblPrEx>
          <w:tblCellMar>
            <w:top w:w="0" w:type="dxa"/>
            <w:bottom w:w="0" w:type="dxa"/>
          </w:tblCellMar>
        </w:tblPrEx>
        <w:tc>
          <w:tcPr>
            <w:tcW w:w="2600" w:type="dxa"/>
            <w:tcMar>
              <w:top w:w="60" w:type="dxa"/>
              <w:left w:w="100" w:type="dxa"/>
              <w:bottom w:w="60" w:type="dxa"/>
              <w:right w:w="100" w:type="dxa"/>
            </w:tcMar>
          </w:tcPr>
          <w:p w14:paraId="0A74B166" w14:textId="77777777" w:rsidR="008B7804" w:rsidRDefault="00000000">
            <w:r>
              <w:rPr>
                <w:color w:val="000000"/>
                <w:sz w:val="18"/>
                <w:szCs w:val="18"/>
              </w:rPr>
              <w:t>Number of paths (N)</w:t>
            </w:r>
          </w:p>
        </w:tc>
        <w:tc>
          <w:tcPr>
            <w:tcW w:w="7160" w:type="dxa"/>
            <w:tcMar>
              <w:top w:w="60" w:type="dxa"/>
              <w:left w:w="100" w:type="dxa"/>
              <w:bottom w:w="60" w:type="dxa"/>
              <w:right w:w="100" w:type="dxa"/>
            </w:tcMar>
          </w:tcPr>
          <w:p w14:paraId="39C64BA1" w14:textId="77777777" w:rsidR="008B7804" w:rsidRDefault="00000000">
            <w:r>
              <w:rPr>
                <w:color w:val="000000"/>
                <w:sz w:val="18"/>
                <w:szCs w:val="18"/>
              </w:rPr>
              <w:t>Monte Carlo paths. Accuracy improves with the square root of N: four times the paths halves the standard error.</w:t>
            </w:r>
          </w:p>
        </w:tc>
      </w:tr>
      <w:tr w:rsidR="008B7804" w14:paraId="01639D11" w14:textId="77777777">
        <w:tblPrEx>
          <w:tblCellMar>
            <w:top w:w="0" w:type="dxa"/>
            <w:bottom w:w="0" w:type="dxa"/>
          </w:tblCellMar>
        </w:tblPrEx>
        <w:tc>
          <w:tcPr>
            <w:tcW w:w="2600" w:type="dxa"/>
            <w:tcMar>
              <w:top w:w="60" w:type="dxa"/>
              <w:left w:w="100" w:type="dxa"/>
              <w:bottom w:w="60" w:type="dxa"/>
              <w:right w:w="100" w:type="dxa"/>
            </w:tcMar>
          </w:tcPr>
          <w:p w14:paraId="2AF94598" w14:textId="77777777" w:rsidR="008B7804" w:rsidRDefault="00000000">
            <w:r>
              <w:rPr>
                <w:color w:val="000000"/>
                <w:sz w:val="18"/>
                <w:szCs w:val="18"/>
              </w:rPr>
              <w:t>Seed</w:t>
            </w:r>
          </w:p>
        </w:tc>
        <w:tc>
          <w:tcPr>
            <w:tcW w:w="7160" w:type="dxa"/>
            <w:tcMar>
              <w:top w:w="60" w:type="dxa"/>
              <w:left w:w="100" w:type="dxa"/>
              <w:bottom w:w="60" w:type="dxa"/>
              <w:right w:w="100" w:type="dxa"/>
            </w:tcMar>
          </w:tcPr>
          <w:p w14:paraId="37EFB0EF" w14:textId="77777777" w:rsidR="008B7804" w:rsidRDefault="00000000">
            <w:r>
              <w:rPr>
                <w:color w:val="000000"/>
                <w:sz w:val="18"/>
                <w:szCs w:val="18"/>
              </w:rPr>
              <w:t>Fixes the random numbers. The same seed reproduces a result exactly.</w:t>
            </w:r>
          </w:p>
        </w:tc>
      </w:tr>
      <w:tr w:rsidR="008B7804" w14:paraId="099C22E0" w14:textId="77777777">
        <w:tblPrEx>
          <w:tblCellMar>
            <w:top w:w="0" w:type="dxa"/>
            <w:bottom w:w="0" w:type="dxa"/>
          </w:tblCellMar>
        </w:tblPrEx>
        <w:tc>
          <w:tcPr>
            <w:tcW w:w="2600" w:type="dxa"/>
            <w:tcMar>
              <w:top w:w="60" w:type="dxa"/>
              <w:left w:w="100" w:type="dxa"/>
              <w:bottom w:w="60" w:type="dxa"/>
              <w:right w:w="100" w:type="dxa"/>
            </w:tcMar>
          </w:tcPr>
          <w:p w14:paraId="658D394A" w14:textId="77777777" w:rsidR="008B7804" w:rsidRDefault="00000000">
            <w:r>
              <w:rPr>
                <w:color w:val="000000"/>
                <w:sz w:val="18"/>
                <w:szCs w:val="18"/>
              </w:rPr>
              <w:t>Random numbers generator</w:t>
            </w:r>
          </w:p>
        </w:tc>
        <w:tc>
          <w:tcPr>
            <w:tcW w:w="7160" w:type="dxa"/>
            <w:tcMar>
              <w:top w:w="60" w:type="dxa"/>
              <w:left w:w="100" w:type="dxa"/>
              <w:bottom w:w="60" w:type="dxa"/>
              <w:right w:w="100" w:type="dxa"/>
            </w:tcMar>
          </w:tcPr>
          <w:p w14:paraId="75DBBADA" w14:textId="77777777" w:rsidR="008B7804" w:rsidRDefault="00000000">
            <w:r>
              <w:rPr>
                <w:color w:val="000000"/>
                <w:sz w:val="18"/>
                <w:szCs w:val="18"/>
              </w:rPr>
              <w:t>Standard pseudo-random, or Quasi (low-discrepancy) sequences.</w:t>
            </w:r>
          </w:p>
        </w:tc>
      </w:tr>
      <w:tr w:rsidR="008B7804" w14:paraId="5803A0B4" w14:textId="77777777">
        <w:tblPrEx>
          <w:tblCellMar>
            <w:top w:w="0" w:type="dxa"/>
            <w:bottom w:w="0" w:type="dxa"/>
          </w:tblCellMar>
        </w:tblPrEx>
        <w:tc>
          <w:tcPr>
            <w:tcW w:w="2600" w:type="dxa"/>
            <w:tcMar>
              <w:top w:w="60" w:type="dxa"/>
              <w:left w:w="100" w:type="dxa"/>
              <w:bottom w:w="60" w:type="dxa"/>
              <w:right w:w="100" w:type="dxa"/>
            </w:tcMar>
          </w:tcPr>
          <w:p w14:paraId="45F2B195" w14:textId="77777777" w:rsidR="008B7804" w:rsidRDefault="00000000">
            <w:r>
              <w:rPr>
                <w:color w:val="000000"/>
                <w:sz w:val="18"/>
                <w:szCs w:val="18"/>
              </w:rPr>
              <w:t>Random numbers sampling</w:t>
            </w:r>
          </w:p>
        </w:tc>
        <w:tc>
          <w:tcPr>
            <w:tcW w:w="7160" w:type="dxa"/>
            <w:tcMar>
              <w:top w:w="60" w:type="dxa"/>
              <w:left w:w="100" w:type="dxa"/>
              <w:bottom w:w="60" w:type="dxa"/>
              <w:right w:w="100" w:type="dxa"/>
            </w:tcMar>
          </w:tcPr>
          <w:p w14:paraId="0A93828A" w14:textId="77777777" w:rsidR="008B7804" w:rsidRDefault="00000000">
            <w:r>
              <w:rPr>
                <w:color w:val="000000"/>
                <w:sz w:val="18"/>
                <w:szCs w:val="18"/>
              </w:rPr>
              <w:t>None, Latin hypercube, or stratified sampling.</w:t>
            </w:r>
          </w:p>
        </w:tc>
      </w:tr>
      <w:tr w:rsidR="008B7804" w14:paraId="51AA736F" w14:textId="77777777">
        <w:tblPrEx>
          <w:tblCellMar>
            <w:top w:w="0" w:type="dxa"/>
            <w:bottom w:w="0" w:type="dxa"/>
          </w:tblCellMar>
        </w:tblPrEx>
        <w:tc>
          <w:tcPr>
            <w:tcW w:w="2600" w:type="dxa"/>
            <w:tcMar>
              <w:top w:w="60" w:type="dxa"/>
              <w:left w:w="100" w:type="dxa"/>
              <w:bottom w:w="60" w:type="dxa"/>
              <w:right w:w="100" w:type="dxa"/>
            </w:tcMar>
          </w:tcPr>
          <w:p w14:paraId="1E38F88D" w14:textId="77777777" w:rsidR="008B7804" w:rsidRDefault="00000000">
            <w:r>
              <w:rPr>
                <w:color w:val="000000"/>
                <w:sz w:val="18"/>
                <w:szCs w:val="18"/>
              </w:rPr>
              <w:t>Wiener process generator</w:t>
            </w:r>
          </w:p>
        </w:tc>
        <w:tc>
          <w:tcPr>
            <w:tcW w:w="7160" w:type="dxa"/>
            <w:tcMar>
              <w:top w:w="60" w:type="dxa"/>
              <w:left w:w="100" w:type="dxa"/>
              <w:bottom w:w="60" w:type="dxa"/>
              <w:right w:w="100" w:type="dxa"/>
            </w:tcMar>
          </w:tcPr>
          <w:p w14:paraId="0AA406ED" w14:textId="77777777" w:rsidR="008B7804" w:rsidRDefault="00000000">
            <w:r>
              <w:rPr>
                <w:color w:val="000000"/>
                <w:sz w:val="18"/>
                <w:szCs w:val="18"/>
              </w:rPr>
              <w:t>Vanilla, antithetic, Brownian bridge or moment matching.</w:t>
            </w:r>
          </w:p>
        </w:tc>
      </w:tr>
      <w:tr w:rsidR="008B7804" w14:paraId="0C2B04FD" w14:textId="77777777">
        <w:tblPrEx>
          <w:tblCellMar>
            <w:top w:w="0" w:type="dxa"/>
            <w:bottom w:w="0" w:type="dxa"/>
          </w:tblCellMar>
        </w:tblPrEx>
        <w:tc>
          <w:tcPr>
            <w:tcW w:w="2600" w:type="dxa"/>
            <w:tcMar>
              <w:top w:w="60" w:type="dxa"/>
              <w:left w:w="100" w:type="dxa"/>
              <w:bottom w:w="60" w:type="dxa"/>
              <w:right w:w="100" w:type="dxa"/>
            </w:tcMar>
          </w:tcPr>
          <w:p w14:paraId="131B5227" w14:textId="77777777" w:rsidR="008B7804" w:rsidRDefault="00000000">
            <w:r>
              <w:rPr>
                <w:color w:val="000000"/>
                <w:sz w:val="18"/>
                <w:szCs w:val="18"/>
              </w:rPr>
              <w:t>Number of repetitions</w:t>
            </w:r>
          </w:p>
        </w:tc>
        <w:tc>
          <w:tcPr>
            <w:tcW w:w="7160" w:type="dxa"/>
            <w:tcMar>
              <w:top w:w="60" w:type="dxa"/>
              <w:left w:w="100" w:type="dxa"/>
              <w:bottom w:w="60" w:type="dxa"/>
              <w:right w:w="100" w:type="dxa"/>
            </w:tcMar>
          </w:tcPr>
          <w:p w14:paraId="1A2B5A11" w14:textId="77777777" w:rsidR="008B7804" w:rsidRDefault="00000000">
            <w:r>
              <w:rPr>
                <w:color w:val="000000"/>
                <w:sz w:val="18"/>
                <w:szCs w:val="18"/>
              </w:rPr>
              <w:t>Appears when the chosen family needs independent repetitions to estimate the error. The service runs them for you.</w:t>
            </w:r>
          </w:p>
        </w:tc>
      </w:tr>
    </w:tbl>
    <w:p w14:paraId="696B03F9" w14:textId="77777777" w:rsidR="008B7804" w:rsidRDefault="00000000">
      <w:pPr>
        <w:spacing w:after="120"/>
      </w:pPr>
      <w:r>
        <w:rPr>
          <w:b/>
          <w:bCs/>
        </w:rPr>
        <w:t>Antithetic generation requires an even N.</w:t>
      </w:r>
      <w:r>
        <w:t xml:space="preserve"> Studio warns you in the sidebar if N is odd.</w:t>
      </w:r>
    </w:p>
    <w:p w14:paraId="49844BC9" w14:textId="77777777" w:rsidR="008B7804" w:rsidRDefault="00000000">
      <w:pPr>
        <w:pStyle w:val="Heading1"/>
        <w:spacing w:before="320" w:after="140"/>
      </w:pPr>
      <w:r>
        <w:t>5. Defining the product</w:t>
      </w:r>
    </w:p>
    <w:p w14:paraId="735C402C" w14:textId="77777777" w:rsidR="008B7804" w:rsidRDefault="00000000">
      <w:pPr>
        <w:pStyle w:val="Heading2"/>
        <w:spacing w:before="240" w:after="100"/>
      </w:pPr>
      <w:r>
        <w:lastRenderedPageBreak/>
        <w:t>5.1 Payoff and market state</w:t>
      </w:r>
    </w:p>
    <w:p w14:paraId="3516D63D" w14:textId="77777777" w:rsidR="008B7804" w:rsidRDefault="00000000">
      <w:pPr>
        <w:spacing w:after="120"/>
      </w:pPr>
      <w:r>
        <w:t>Choose the option type (</w:t>
      </w:r>
      <w:r>
        <w:rPr>
          <w:rFonts w:ascii="Consolas" w:eastAsia="Consolas" w:hAnsi="Consolas" w:cs="Consolas"/>
        </w:rPr>
        <w:t xml:space="preserve">Call, Put, </w:t>
      </w:r>
      <w:proofErr w:type="spellStart"/>
      <w:r>
        <w:rPr>
          <w:rFonts w:ascii="Consolas" w:eastAsia="Consolas" w:hAnsi="Consolas" w:cs="Consolas"/>
        </w:rPr>
        <w:t>DigitalCall</w:t>
      </w:r>
      <w:proofErr w:type="spellEnd"/>
      <w:r>
        <w:rPr>
          <w:rFonts w:ascii="Consolas" w:eastAsia="Consolas" w:hAnsi="Consolas" w:cs="Consolas"/>
        </w:rPr>
        <w:t xml:space="preserve">, </w:t>
      </w:r>
      <w:proofErr w:type="spellStart"/>
      <w:r>
        <w:rPr>
          <w:rFonts w:ascii="Consolas" w:eastAsia="Consolas" w:hAnsi="Consolas" w:cs="Consolas"/>
        </w:rPr>
        <w:t>DigitalPut</w:t>
      </w:r>
      <w:proofErr w:type="spellEnd"/>
      <w:r>
        <w:t>) and set S0, strike, r, volatility, dividend yield and maturity. Initial sentiment applies only when a sentiment model is active.</w:t>
      </w:r>
    </w:p>
    <w:p w14:paraId="4825BE8C" w14:textId="77777777" w:rsidR="008B7804" w:rsidRDefault="00000000">
      <w:pPr>
        <w:pStyle w:val="Heading2"/>
        <w:spacing w:before="240" w:after="100"/>
      </w:pPr>
      <w:r>
        <w:t>5.2 Underlying</w:t>
      </w:r>
    </w:p>
    <w:p w14:paraId="6B0BD946" w14:textId="77777777" w:rsidR="008B7804" w:rsidRDefault="00000000">
      <w:pPr>
        <w:spacing w:after="120"/>
      </w:pPr>
      <w:r>
        <w:t xml:space="preserve">Path independent (terminal price), arithmetic Asian or geometric Asian, including floating-strike variants. Asian </w:t>
      </w:r>
      <w:proofErr w:type="spellStart"/>
      <w:r>
        <w:t>underlyings</w:t>
      </w:r>
      <w:proofErr w:type="spellEnd"/>
      <w:r>
        <w:t xml:space="preserve"> average the path according to the standard convention.</w:t>
      </w:r>
    </w:p>
    <w:p w14:paraId="409B3928" w14:textId="77777777" w:rsidR="008B7804" w:rsidRDefault="00000000">
      <w:pPr>
        <w:pStyle w:val="Heading2"/>
        <w:spacing w:before="240" w:after="100"/>
      </w:pPr>
      <w:r>
        <w:t>5.3 Lookback and barrier wrappers</w:t>
      </w:r>
    </w:p>
    <w:p w14:paraId="1DEC8E92" w14:textId="77777777" w:rsidR="008B7804" w:rsidRDefault="00000000">
      <w:pPr>
        <w:spacing w:after="120"/>
      </w:pPr>
      <w:r>
        <w:t>Answer the two questions — lookback or not, barrier or not — and Studio composes the wrapper order for you:</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60"/>
      </w:tblGrid>
      <w:tr w:rsidR="008B7804" w14:paraId="685039B3" w14:textId="77777777">
        <w:tblPrEx>
          <w:tblCellMar>
            <w:top w:w="0" w:type="dxa"/>
            <w:bottom w:w="0" w:type="dxa"/>
          </w:tblCellMar>
        </w:tblPrEx>
        <w:tc>
          <w:tcPr>
            <w:tcW w:w="3400" w:type="dxa"/>
            <w:shd w:val="clear" w:color="auto" w:fill="1F3864"/>
            <w:tcMar>
              <w:top w:w="60" w:type="dxa"/>
              <w:left w:w="100" w:type="dxa"/>
              <w:bottom w:w="60" w:type="dxa"/>
              <w:right w:w="100" w:type="dxa"/>
            </w:tcMar>
          </w:tcPr>
          <w:p w14:paraId="1726451E" w14:textId="77777777" w:rsidR="008B7804" w:rsidRDefault="00000000">
            <w:r>
              <w:rPr>
                <w:b/>
                <w:bCs/>
                <w:color w:val="FFFFFF"/>
                <w:sz w:val="18"/>
                <w:szCs w:val="18"/>
              </w:rPr>
              <w:t>Selection</w:t>
            </w:r>
          </w:p>
        </w:tc>
        <w:tc>
          <w:tcPr>
            <w:tcW w:w="6360" w:type="dxa"/>
            <w:shd w:val="clear" w:color="auto" w:fill="1F3864"/>
            <w:tcMar>
              <w:top w:w="60" w:type="dxa"/>
              <w:left w:w="100" w:type="dxa"/>
              <w:bottom w:w="60" w:type="dxa"/>
              <w:right w:w="100" w:type="dxa"/>
            </w:tcMar>
          </w:tcPr>
          <w:p w14:paraId="32364DB7" w14:textId="77777777" w:rsidR="008B7804" w:rsidRDefault="00000000">
            <w:r>
              <w:rPr>
                <w:b/>
                <w:bCs/>
                <w:color w:val="FFFFFF"/>
                <w:sz w:val="18"/>
                <w:szCs w:val="18"/>
              </w:rPr>
              <w:t>Resulting structure</w:t>
            </w:r>
          </w:p>
        </w:tc>
      </w:tr>
      <w:tr w:rsidR="008B7804" w14:paraId="227108FF" w14:textId="77777777">
        <w:tblPrEx>
          <w:tblCellMar>
            <w:top w:w="0" w:type="dxa"/>
            <w:bottom w:w="0" w:type="dxa"/>
          </w:tblCellMar>
        </w:tblPrEx>
        <w:tc>
          <w:tcPr>
            <w:tcW w:w="3400" w:type="dxa"/>
            <w:tcMar>
              <w:top w:w="60" w:type="dxa"/>
              <w:left w:w="100" w:type="dxa"/>
              <w:bottom w:w="60" w:type="dxa"/>
              <w:right w:w="100" w:type="dxa"/>
            </w:tcMar>
          </w:tcPr>
          <w:p w14:paraId="68C26828" w14:textId="77777777" w:rsidR="008B7804" w:rsidRDefault="00000000">
            <w:r>
              <w:rPr>
                <w:color w:val="000000"/>
                <w:sz w:val="18"/>
                <w:szCs w:val="18"/>
              </w:rPr>
              <w:t>Neither</w:t>
            </w:r>
          </w:p>
        </w:tc>
        <w:tc>
          <w:tcPr>
            <w:tcW w:w="6360" w:type="dxa"/>
            <w:tcMar>
              <w:top w:w="60" w:type="dxa"/>
              <w:left w:w="100" w:type="dxa"/>
              <w:bottom w:w="60" w:type="dxa"/>
              <w:right w:w="100" w:type="dxa"/>
            </w:tcMar>
          </w:tcPr>
          <w:p w14:paraId="0522C876" w14:textId="77777777" w:rsidR="008B7804" w:rsidRDefault="00000000">
            <w:r>
              <w:rPr>
                <w:color w:val="000000"/>
                <w:sz w:val="18"/>
                <w:szCs w:val="18"/>
              </w:rPr>
              <w:t>Underlying only</w:t>
            </w:r>
          </w:p>
        </w:tc>
      </w:tr>
      <w:tr w:rsidR="008B7804" w14:paraId="3DA18BAB" w14:textId="77777777">
        <w:tblPrEx>
          <w:tblCellMar>
            <w:top w:w="0" w:type="dxa"/>
            <w:bottom w:w="0" w:type="dxa"/>
          </w:tblCellMar>
        </w:tblPrEx>
        <w:tc>
          <w:tcPr>
            <w:tcW w:w="3400" w:type="dxa"/>
            <w:tcMar>
              <w:top w:w="60" w:type="dxa"/>
              <w:left w:w="100" w:type="dxa"/>
              <w:bottom w:w="60" w:type="dxa"/>
              <w:right w:w="100" w:type="dxa"/>
            </w:tcMar>
          </w:tcPr>
          <w:p w14:paraId="6572E5F7" w14:textId="77777777" w:rsidR="008B7804" w:rsidRDefault="00000000">
            <w:r>
              <w:rPr>
                <w:color w:val="000000"/>
                <w:sz w:val="18"/>
                <w:szCs w:val="18"/>
              </w:rPr>
              <w:t>Barrier only</w:t>
            </w:r>
          </w:p>
        </w:tc>
        <w:tc>
          <w:tcPr>
            <w:tcW w:w="6360" w:type="dxa"/>
            <w:tcMar>
              <w:top w:w="60" w:type="dxa"/>
              <w:left w:w="100" w:type="dxa"/>
              <w:bottom w:w="60" w:type="dxa"/>
              <w:right w:w="100" w:type="dxa"/>
            </w:tcMar>
          </w:tcPr>
          <w:p w14:paraId="03ED31F1" w14:textId="77777777" w:rsidR="008B7804" w:rsidRDefault="00000000">
            <w:r>
              <w:rPr>
                <w:color w:val="000000"/>
                <w:sz w:val="18"/>
                <w:szCs w:val="18"/>
              </w:rPr>
              <w:t>Barrier on underlying</w:t>
            </w:r>
          </w:p>
        </w:tc>
      </w:tr>
      <w:tr w:rsidR="008B7804" w14:paraId="3987080F" w14:textId="77777777">
        <w:tblPrEx>
          <w:tblCellMar>
            <w:top w:w="0" w:type="dxa"/>
            <w:bottom w:w="0" w:type="dxa"/>
          </w:tblCellMar>
        </w:tblPrEx>
        <w:tc>
          <w:tcPr>
            <w:tcW w:w="3400" w:type="dxa"/>
            <w:tcMar>
              <w:top w:w="60" w:type="dxa"/>
              <w:left w:w="100" w:type="dxa"/>
              <w:bottom w:w="60" w:type="dxa"/>
              <w:right w:w="100" w:type="dxa"/>
            </w:tcMar>
          </w:tcPr>
          <w:p w14:paraId="797803E5" w14:textId="77777777" w:rsidR="008B7804" w:rsidRDefault="00000000">
            <w:r>
              <w:rPr>
                <w:color w:val="000000"/>
                <w:sz w:val="18"/>
                <w:szCs w:val="18"/>
              </w:rPr>
              <w:t>Lookback only</w:t>
            </w:r>
          </w:p>
        </w:tc>
        <w:tc>
          <w:tcPr>
            <w:tcW w:w="6360" w:type="dxa"/>
            <w:tcMar>
              <w:top w:w="60" w:type="dxa"/>
              <w:left w:w="100" w:type="dxa"/>
              <w:bottom w:w="60" w:type="dxa"/>
              <w:right w:w="100" w:type="dxa"/>
            </w:tcMar>
          </w:tcPr>
          <w:p w14:paraId="0C3A7429" w14:textId="77777777" w:rsidR="008B7804" w:rsidRDefault="00000000">
            <w:r>
              <w:rPr>
                <w:color w:val="000000"/>
                <w:sz w:val="18"/>
                <w:szCs w:val="18"/>
              </w:rPr>
              <w:t>Lookback on underlying</w:t>
            </w:r>
          </w:p>
        </w:tc>
      </w:tr>
      <w:tr w:rsidR="008B7804" w14:paraId="63C84116" w14:textId="77777777">
        <w:tblPrEx>
          <w:tblCellMar>
            <w:top w:w="0" w:type="dxa"/>
            <w:bottom w:w="0" w:type="dxa"/>
          </w:tblCellMar>
        </w:tblPrEx>
        <w:tc>
          <w:tcPr>
            <w:tcW w:w="3400" w:type="dxa"/>
            <w:tcMar>
              <w:top w:w="60" w:type="dxa"/>
              <w:left w:w="100" w:type="dxa"/>
              <w:bottom w:w="60" w:type="dxa"/>
              <w:right w:w="100" w:type="dxa"/>
            </w:tcMar>
          </w:tcPr>
          <w:p w14:paraId="0C4D0603" w14:textId="77777777" w:rsidR="008B7804" w:rsidRDefault="00000000">
            <w:r>
              <w:rPr>
                <w:color w:val="000000"/>
                <w:sz w:val="18"/>
                <w:szCs w:val="18"/>
              </w:rPr>
              <w:t>Both, barrier outermost</w:t>
            </w:r>
          </w:p>
        </w:tc>
        <w:tc>
          <w:tcPr>
            <w:tcW w:w="6360" w:type="dxa"/>
            <w:tcMar>
              <w:top w:w="60" w:type="dxa"/>
              <w:left w:w="100" w:type="dxa"/>
              <w:bottom w:w="60" w:type="dxa"/>
              <w:right w:w="100" w:type="dxa"/>
            </w:tcMar>
          </w:tcPr>
          <w:p w14:paraId="01EC5D69" w14:textId="77777777" w:rsidR="008B7804" w:rsidRDefault="00000000">
            <w:r>
              <w:rPr>
                <w:color w:val="000000"/>
                <w:sz w:val="18"/>
                <w:szCs w:val="18"/>
              </w:rPr>
              <w:t>Barrier on Lookback on underlying</w:t>
            </w:r>
          </w:p>
        </w:tc>
      </w:tr>
      <w:tr w:rsidR="008B7804" w14:paraId="4C816DEA" w14:textId="77777777">
        <w:tblPrEx>
          <w:tblCellMar>
            <w:top w:w="0" w:type="dxa"/>
            <w:bottom w:w="0" w:type="dxa"/>
          </w:tblCellMar>
        </w:tblPrEx>
        <w:tc>
          <w:tcPr>
            <w:tcW w:w="3400" w:type="dxa"/>
            <w:tcMar>
              <w:top w:w="60" w:type="dxa"/>
              <w:left w:w="100" w:type="dxa"/>
              <w:bottom w:w="60" w:type="dxa"/>
              <w:right w:w="100" w:type="dxa"/>
            </w:tcMar>
          </w:tcPr>
          <w:p w14:paraId="1475CED3" w14:textId="77777777" w:rsidR="008B7804" w:rsidRDefault="00000000">
            <w:r>
              <w:rPr>
                <w:color w:val="000000"/>
                <w:sz w:val="18"/>
                <w:szCs w:val="18"/>
              </w:rPr>
              <w:t>Both, lookback outermost</w:t>
            </w:r>
          </w:p>
        </w:tc>
        <w:tc>
          <w:tcPr>
            <w:tcW w:w="6360" w:type="dxa"/>
            <w:tcMar>
              <w:top w:w="60" w:type="dxa"/>
              <w:left w:w="100" w:type="dxa"/>
              <w:bottom w:w="60" w:type="dxa"/>
              <w:right w:w="100" w:type="dxa"/>
            </w:tcMar>
          </w:tcPr>
          <w:p w14:paraId="068C395E" w14:textId="77777777" w:rsidR="008B7804" w:rsidRDefault="00000000">
            <w:r>
              <w:rPr>
                <w:color w:val="000000"/>
                <w:sz w:val="18"/>
                <w:szCs w:val="18"/>
              </w:rPr>
              <w:t>Lookback on Barrier on underlying</w:t>
            </w:r>
          </w:p>
        </w:tc>
      </w:tr>
    </w:tbl>
    <w:p w14:paraId="1C628EA4" w14:textId="77777777" w:rsidR="008B7804" w:rsidRDefault="00000000">
      <w:pPr>
        <w:spacing w:after="120"/>
      </w:pPr>
      <w:r>
        <w:rPr>
          <w:b/>
          <w:bCs/>
        </w:rPr>
        <w:t>The two nested orders are different products and price differently.</w:t>
      </w:r>
      <w:r>
        <w:t xml:space="preserve"> In the first, the barrier applies to the lookback payoff; in the second, the barrier amends the paths before the lookback scans them.</w:t>
      </w:r>
    </w:p>
    <w:p w14:paraId="0C06DAE2" w14:textId="77777777" w:rsidR="008B7804" w:rsidRDefault="00000000">
      <w:pPr>
        <w:spacing w:after="120"/>
      </w:pPr>
      <w:r>
        <w:t>Barrier levels use Up barrier and Down barrier; a very large upper level or a zero lower level makes that side inactive. Rebates default to zero in Studio; set them only if the contract pays a rebate.</w:t>
      </w:r>
    </w:p>
    <w:p w14:paraId="7E07D781" w14:textId="77777777" w:rsidR="008B7804" w:rsidRDefault="00000000">
      <w:pPr>
        <w:pStyle w:val="Heading2"/>
        <w:spacing w:before="240" w:after="100"/>
      </w:pPr>
      <w:r>
        <w:t>5.4 Exercise style</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60"/>
      </w:tblGrid>
      <w:tr w:rsidR="008B7804" w14:paraId="6D67036D" w14:textId="77777777">
        <w:tblPrEx>
          <w:tblCellMar>
            <w:top w:w="0" w:type="dxa"/>
            <w:bottom w:w="0" w:type="dxa"/>
          </w:tblCellMar>
        </w:tblPrEx>
        <w:tc>
          <w:tcPr>
            <w:tcW w:w="3400" w:type="dxa"/>
            <w:shd w:val="clear" w:color="auto" w:fill="1F3864"/>
            <w:tcMar>
              <w:top w:w="60" w:type="dxa"/>
              <w:left w:w="100" w:type="dxa"/>
              <w:bottom w:w="60" w:type="dxa"/>
              <w:right w:w="100" w:type="dxa"/>
            </w:tcMar>
          </w:tcPr>
          <w:p w14:paraId="0DE3740A" w14:textId="77777777" w:rsidR="008B7804" w:rsidRDefault="00000000">
            <w:r>
              <w:rPr>
                <w:b/>
                <w:bCs/>
                <w:color w:val="FFFFFF"/>
                <w:sz w:val="18"/>
                <w:szCs w:val="18"/>
              </w:rPr>
              <w:t>Choice</w:t>
            </w:r>
          </w:p>
        </w:tc>
        <w:tc>
          <w:tcPr>
            <w:tcW w:w="6360" w:type="dxa"/>
            <w:shd w:val="clear" w:color="auto" w:fill="1F3864"/>
            <w:tcMar>
              <w:top w:w="60" w:type="dxa"/>
              <w:left w:w="100" w:type="dxa"/>
              <w:bottom w:w="60" w:type="dxa"/>
              <w:right w:w="100" w:type="dxa"/>
            </w:tcMar>
          </w:tcPr>
          <w:p w14:paraId="69E766FE" w14:textId="77777777" w:rsidR="008B7804" w:rsidRDefault="00000000">
            <w:r>
              <w:rPr>
                <w:b/>
                <w:bCs/>
                <w:color w:val="FFFFFF"/>
                <w:sz w:val="18"/>
                <w:szCs w:val="18"/>
              </w:rPr>
              <w:t>Meaning</w:t>
            </w:r>
          </w:p>
        </w:tc>
      </w:tr>
      <w:tr w:rsidR="008B7804" w14:paraId="38F3EAA8" w14:textId="77777777">
        <w:tblPrEx>
          <w:tblCellMar>
            <w:top w:w="0" w:type="dxa"/>
            <w:bottom w:w="0" w:type="dxa"/>
          </w:tblCellMar>
        </w:tblPrEx>
        <w:tc>
          <w:tcPr>
            <w:tcW w:w="3400" w:type="dxa"/>
            <w:tcMar>
              <w:top w:w="60" w:type="dxa"/>
              <w:left w:w="100" w:type="dxa"/>
              <w:bottom w:w="60" w:type="dxa"/>
              <w:right w:w="100" w:type="dxa"/>
            </w:tcMar>
          </w:tcPr>
          <w:p w14:paraId="23FB4EAE" w14:textId="77777777" w:rsidR="008B7804" w:rsidRDefault="00000000">
            <w:proofErr w:type="spellStart"/>
            <w:r>
              <w:rPr>
                <w:color w:val="000000"/>
                <w:sz w:val="18"/>
                <w:szCs w:val="18"/>
              </w:rPr>
              <w:t>EuropeanOption</w:t>
            </w:r>
            <w:proofErr w:type="spellEnd"/>
          </w:p>
        </w:tc>
        <w:tc>
          <w:tcPr>
            <w:tcW w:w="6360" w:type="dxa"/>
            <w:tcMar>
              <w:top w:w="60" w:type="dxa"/>
              <w:left w:w="100" w:type="dxa"/>
              <w:bottom w:w="60" w:type="dxa"/>
              <w:right w:w="100" w:type="dxa"/>
            </w:tcMar>
          </w:tcPr>
          <w:p w14:paraId="7B063A35" w14:textId="77777777" w:rsidR="008B7804" w:rsidRDefault="00000000">
            <w:r>
              <w:rPr>
                <w:color w:val="000000"/>
                <w:sz w:val="18"/>
                <w:szCs w:val="18"/>
              </w:rPr>
              <w:t>Exercise at maturity only.</w:t>
            </w:r>
          </w:p>
        </w:tc>
      </w:tr>
      <w:tr w:rsidR="008B7804" w14:paraId="276801C6" w14:textId="77777777">
        <w:tblPrEx>
          <w:tblCellMar>
            <w:top w:w="0" w:type="dxa"/>
            <w:bottom w:w="0" w:type="dxa"/>
          </w:tblCellMar>
        </w:tblPrEx>
        <w:tc>
          <w:tcPr>
            <w:tcW w:w="3400" w:type="dxa"/>
            <w:tcMar>
              <w:top w:w="60" w:type="dxa"/>
              <w:left w:w="100" w:type="dxa"/>
              <w:bottom w:w="60" w:type="dxa"/>
              <w:right w:w="100" w:type="dxa"/>
            </w:tcMar>
          </w:tcPr>
          <w:p w14:paraId="007DFBFD" w14:textId="77777777" w:rsidR="008B7804" w:rsidRDefault="00000000">
            <w:proofErr w:type="spellStart"/>
            <w:r>
              <w:rPr>
                <w:color w:val="000000"/>
                <w:sz w:val="18"/>
                <w:szCs w:val="18"/>
              </w:rPr>
              <w:t>AmericanOption</w:t>
            </w:r>
            <w:proofErr w:type="spellEnd"/>
          </w:p>
        </w:tc>
        <w:tc>
          <w:tcPr>
            <w:tcW w:w="6360" w:type="dxa"/>
            <w:tcMar>
              <w:top w:w="60" w:type="dxa"/>
              <w:left w:w="100" w:type="dxa"/>
              <w:bottom w:w="60" w:type="dxa"/>
              <w:right w:w="100" w:type="dxa"/>
            </w:tcMar>
          </w:tcPr>
          <w:p w14:paraId="7C38BAED" w14:textId="77777777" w:rsidR="008B7804" w:rsidRDefault="00000000">
            <w:r>
              <w:rPr>
                <w:color w:val="000000"/>
                <w:sz w:val="18"/>
                <w:szCs w:val="18"/>
              </w:rPr>
              <w:t>Early exercise at every step, by least-squares Monte Carlo.</w:t>
            </w:r>
          </w:p>
        </w:tc>
      </w:tr>
      <w:tr w:rsidR="008B7804" w14:paraId="270D189A" w14:textId="77777777">
        <w:tblPrEx>
          <w:tblCellMar>
            <w:top w:w="0" w:type="dxa"/>
            <w:bottom w:w="0" w:type="dxa"/>
          </w:tblCellMar>
        </w:tblPrEx>
        <w:tc>
          <w:tcPr>
            <w:tcW w:w="3400" w:type="dxa"/>
            <w:tcMar>
              <w:top w:w="60" w:type="dxa"/>
              <w:left w:w="100" w:type="dxa"/>
              <w:bottom w:w="60" w:type="dxa"/>
              <w:right w:w="100" w:type="dxa"/>
            </w:tcMar>
          </w:tcPr>
          <w:p w14:paraId="5C18C8B1" w14:textId="77777777" w:rsidR="008B7804" w:rsidRDefault="00000000">
            <w:proofErr w:type="spellStart"/>
            <w:r>
              <w:rPr>
                <w:color w:val="000000"/>
                <w:sz w:val="18"/>
                <w:szCs w:val="18"/>
              </w:rPr>
              <w:t>BermudaOption</w:t>
            </w:r>
            <w:proofErr w:type="spellEnd"/>
          </w:p>
        </w:tc>
        <w:tc>
          <w:tcPr>
            <w:tcW w:w="6360" w:type="dxa"/>
            <w:tcMar>
              <w:top w:w="60" w:type="dxa"/>
              <w:left w:w="100" w:type="dxa"/>
              <w:bottom w:w="60" w:type="dxa"/>
              <w:right w:w="100" w:type="dxa"/>
            </w:tcMar>
          </w:tcPr>
          <w:p w14:paraId="3DD81E3E" w14:textId="77777777" w:rsidR="008B7804" w:rsidRDefault="00000000">
            <w:r>
              <w:rPr>
                <w:color w:val="000000"/>
                <w:sz w:val="18"/>
                <w:szCs w:val="18"/>
              </w:rPr>
              <w:t>Early exercise on a limited number of dates.</w:t>
            </w:r>
          </w:p>
        </w:tc>
      </w:tr>
      <w:tr w:rsidR="008B7804" w14:paraId="22D19DF2" w14:textId="77777777">
        <w:tblPrEx>
          <w:tblCellMar>
            <w:top w:w="0" w:type="dxa"/>
            <w:bottom w:w="0" w:type="dxa"/>
          </w:tblCellMar>
        </w:tblPrEx>
        <w:tc>
          <w:tcPr>
            <w:tcW w:w="3400" w:type="dxa"/>
            <w:tcMar>
              <w:top w:w="60" w:type="dxa"/>
              <w:left w:w="100" w:type="dxa"/>
              <w:bottom w:w="60" w:type="dxa"/>
              <w:right w:w="100" w:type="dxa"/>
            </w:tcMar>
          </w:tcPr>
          <w:p w14:paraId="3C758AE3" w14:textId="77777777" w:rsidR="008B7804" w:rsidRDefault="00000000">
            <w:proofErr w:type="spellStart"/>
            <w:r>
              <w:rPr>
                <w:color w:val="000000"/>
                <w:sz w:val="18"/>
                <w:szCs w:val="18"/>
              </w:rPr>
              <w:t>LookBackAmericanOption</w:t>
            </w:r>
            <w:proofErr w:type="spellEnd"/>
            <w:r>
              <w:rPr>
                <w:color w:val="000000"/>
                <w:sz w:val="18"/>
                <w:szCs w:val="18"/>
              </w:rPr>
              <w:t xml:space="preserve">... / </w:t>
            </w:r>
            <w:proofErr w:type="spellStart"/>
            <w:r>
              <w:rPr>
                <w:color w:val="000000"/>
                <w:sz w:val="18"/>
                <w:szCs w:val="18"/>
              </w:rPr>
              <w:t>LookbackBermudaOption</w:t>
            </w:r>
            <w:proofErr w:type="spellEnd"/>
            <w:r>
              <w:rPr>
                <w:color w:val="000000"/>
                <w:sz w:val="18"/>
                <w:szCs w:val="18"/>
              </w:rPr>
              <w:t>...</w:t>
            </w:r>
          </w:p>
        </w:tc>
        <w:tc>
          <w:tcPr>
            <w:tcW w:w="6360" w:type="dxa"/>
            <w:tcMar>
              <w:top w:w="60" w:type="dxa"/>
              <w:left w:w="100" w:type="dxa"/>
              <w:bottom w:w="60" w:type="dxa"/>
              <w:right w:w="100" w:type="dxa"/>
            </w:tcMar>
          </w:tcPr>
          <w:p w14:paraId="045DF020" w14:textId="77777777" w:rsidR="008B7804" w:rsidRDefault="00000000">
            <w:r>
              <w:rPr>
                <w:color w:val="000000"/>
                <w:sz w:val="18"/>
                <w:szCs w:val="18"/>
              </w:rPr>
              <w:t>Native lookback exercise: the running extreme enters the exercise decision itself, rather than being applied as a wrapper.</w:t>
            </w:r>
          </w:p>
        </w:tc>
      </w:tr>
    </w:tbl>
    <w:p w14:paraId="5EA507BB" w14:textId="77777777" w:rsidR="008B7804" w:rsidRDefault="00000000">
      <w:pPr>
        <w:spacing w:after="120"/>
      </w:pPr>
      <w:r>
        <w:t xml:space="preserve">Native lookback exercises supply their own lookback structure. Studio therefore sends </w:t>
      </w:r>
      <w:r>
        <w:rPr>
          <w:rFonts w:ascii="Consolas" w:eastAsia="Consolas" w:hAnsi="Consolas" w:cs="Consolas"/>
        </w:rPr>
        <w:t>Underlying only</w:t>
      </w:r>
      <w:r>
        <w:t xml:space="preserve"> when no barrier is selected, and </w:t>
      </w:r>
      <w:r>
        <w:rPr>
          <w:rFonts w:ascii="Consolas" w:eastAsia="Consolas" w:hAnsi="Consolas" w:cs="Consolas"/>
        </w:rPr>
        <w:t>Barrier on underlying</w:t>
      </w:r>
      <w:r>
        <w:t xml:space="preserve"> when one is — pricing the native lookback over barrier-amended paths. Nested wrapper orders are not valid with these exercises and Studio will not send them.</w:t>
      </w:r>
    </w:p>
    <w:p w14:paraId="7C268153" w14:textId="77777777" w:rsidR="008B7804" w:rsidRDefault="00000000">
      <w:pPr>
        <w:pStyle w:val="Heading2"/>
        <w:spacing w:before="240" w:after="100"/>
      </w:pPr>
      <w:r>
        <w:t>5.5 Exercise controls</w:t>
      </w:r>
    </w:p>
    <w:p w14:paraId="6C3C38AC" w14:textId="77777777" w:rsidR="008B7804" w:rsidRDefault="00000000">
      <w:pPr>
        <w:spacing w:after="120"/>
      </w:pPr>
      <w:r>
        <w:t>Regression degree sets the polynomial order of the least-squares regression. Number of exercise points sets how many early-exercise dates are used; it cannot exceed M, and Studio caps the field accordingly.</w:t>
      </w:r>
    </w:p>
    <w:p w14:paraId="5D57117F" w14:textId="77777777" w:rsidR="008B7804" w:rsidRDefault="00000000">
      <w:pPr>
        <w:pStyle w:val="Heading1"/>
        <w:spacing w:before="320" w:after="140"/>
      </w:pPr>
      <w:r>
        <w:t>6. Models</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3400"/>
        <w:gridCol w:w="4360"/>
      </w:tblGrid>
      <w:tr w:rsidR="008B7804" w14:paraId="048B2B77" w14:textId="77777777">
        <w:tblPrEx>
          <w:tblCellMar>
            <w:top w:w="0" w:type="dxa"/>
            <w:bottom w:w="0" w:type="dxa"/>
          </w:tblCellMar>
        </w:tblPrEx>
        <w:tc>
          <w:tcPr>
            <w:tcW w:w="2000" w:type="dxa"/>
            <w:shd w:val="clear" w:color="auto" w:fill="1F3864"/>
            <w:tcMar>
              <w:top w:w="60" w:type="dxa"/>
              <w:left w:w="100" w:type="dxa"/>
              <w:bottom w:w="60" w:type="dxa"/>
              <w:right w:w="100" w:type="dxa"/>
            </w:tcMar>
          </w:tcPr>
          <w:p w14:paraId="70472E71" w14:textId="77777777" w:rsidR="008B7804" w:rsidRDefault="00000000">
            <w:r>
              <w:rPr>
                <w:b/>
                <w:bCs/>
                <w:color w:val="FFFFFF"/>
                <w:sz w:val="18"/>
                <w:szCs w:val="18"/>
              </w:rPr>
              <w:t>Model</w:t>
            </w:r>
          </w:p>
        </w:tc>
        <w:tc>
          <w:tcPr>
            <w:tcW w:w="3400" w:type="dxa"/>
            <w:shd w:val="clear" w:color="auto" w:fill="1F3864"/>
            <w:tcMar>
              <w:top w:w="60" w:type="dxa"/>
              <w:left w:w="100" w:type="dxa"/>
              <w:bottom w:w="60" w:type="dxa"/>
              <w:right w:w="100" w:type="dxa"/>
            </w:tcMar>
          </w:tcPr>
          <w:p w14:paraId="75CDA82C" w14:textId="77777777" w:rsidR="008B7804" w:rsidRDefault="00000000">
            <w:r>
              <w:rPr>
                <w:b/>
                <w:bCs/>
                <w:color w:val="FFFFFF"/>
                <w:sz w:val="18"/>
                <w:szCs w:val="18"/>
              </w:rPr>
              <w:t>Choices</w:t>
            </w:r>
          </w:p>
        </w:tc>
        <w:tc>
          <w:tcPr>
            <w:tcW w:w="4360" w:type="dxa"/>
            <w:shd w:val="clear" w:color="auto" w:fill="1F3864"/>
            <w:tcMar>
              <w:top w:w="60" w:type="dxa"/>
              <w:left w:w="100" w:type="dxa"/>
              <w:bottom w:w="60" w:type="dxa"/>
              <w:right w:w="100" w:type="dxa"/>
            </w:tcMar>
          </w:tcPr>
          <w:p w14:paraId="6DB99B64" w14:textId="77777777" w:rsidR="008B7804" w:rsidRDefault="00000000">
            <w:r>
              <w:rPr>
                <w:b/>
                <w:bCs/>
                <w:color w:val="FFFFFF"/>
                <w:sz w:val="18"/>
                <w:szCs w:val="18"/>
              </w:rPr>
              <w:t>Parameters shown when selected</w:t>
            </w:r>
          </w:p>
        </w:tc>
      </w:tr>
      <w:tr w:rsidR="008B7804" w14:paraId="44D4EF00" w14:textId="77777777">
        <w:tblPrEx>
          <w:tblCellMar>
            <w:top w:w="0" w:type="dxa"/>
            <w:bottom w:w="0" w:type="dxa"/>
          </w:tblCellMar>
        </w:tblPrEx>
        <w:tc>
          <w:tcPr>
            <w:tcW w:w="2000" w:type="dxa"/>
            <w:tcMar>
              <w:top w:w="60" w:type="dxa"/>
              <w:left w:w="100" w:type="dxa"/>
              <w:bottom w:w="60" w:type="dxa"/>
              <w:right w:w="100" w:type="dxa"/>
            </w:tcMar>
          </w:tcPr>
          <w:p w14:paraId="6A0F2981" w14:textId="77777777" w:rsidR="008B7804" w:rsidRDefault="00000000">
            <w:r>
              <w:rPr>
                <w:color w:val="000000"/>
                <w:sz w:val="18"/>
                <w:szCs w:val="18"/>
              </w:rPr>
              <w:lastRenderedPageBreak/>
              <w:t>Rate</w:t>
            </w:r>
          </w:p>
        </w:tc>
        <w:tc>
          <w:tcPr>
            <w:tcW w:w="3400" w:type="dxa"/>
            <w:tcMar>
              <w:top w:w="60" w:type="dxa"/>
              <w:left w:w="100" w:type="dxa"/>
              <w:bottom w:w="60" w:type="dxa"/>
              <w:right w:w="100" w:type="dxa"/>
            </w:tcMar>
          </w:tcPr>
          <w:p w14:paraId="62B81952" w14:textId="77777777" w:rsidR="008B7804" w:rsidRDefault="00000000">
            <w:proofErr w:type="spellStart"/>
            <w:r>
              <w:rPr>
                <w:color w:val="000000"/>
                <w:sz w:val="18"/>
                <w:szCs w:val="18"/>
              </w:rPr>
              <w:t>ConstantRate</w:t>
            </w:r>
            <w:proofErr w:type="spellEnd"/>
            <w:r>
              <w:rPr>
                <w:color w:val="000000"/>
                <w:sz w:val="18"/>
                <w:szCs w:val="18"/>
              </w:rPr>
              <w:t>, HoLee, Vasicek, CIR, Extended CIR</w:t>
            </w:r>
          </w:p>
        </w:tc>
        <w:tc>
          <w:tcPr>
            <w:tcW w:w="4360" w:type="dxa"/>
            <w:tcMar>
              <w:top w:w="60" w:type="dxa"/>
              <w:left w:w="100" w:type="dxa"/>
              <w:bottom w:w="60" w:type="dxa"/>
              <w:right w:w="100" w:type="dxa"/>
            </w:tcMar>
          </w:tcPr>
          <w:p w14:paraId="4BB0485D" w14:textId="77777777" w:rsidR="008B7804" w:rsidRDefault="00000000">
            <w:r>
              <w:rPr>
                <w:color w:val="000000"/>
                <w:sz w:val="18"/>
                <w:szCs w:val="18"/>
              </w:rPr>
              <w:t xml:space="preserve">a, b, </w:t>
            </w:r>
            <w:proofErr w:type="spellStart"/>
            <w:r>
              <w:rPr>
                <w:color w:val="000000"/>
                <w:sz w:val="18"/>
                <w:szCs w:val="18"/>
              </w:rPr>
              <w:t>Sigma_R</w:t>
            </w:r>
            <w:proofErr w:type="spellEnd"/>
            <w:r>
              <w:rPr>
                <w:color w:val="000000"/>
                <w:sz w:val="18"/>
                <w:szCs w:val="18"/>
              </w:rPr>
              <w:t xml:space="preserve"> and the term-structure curves</w:t>
            </w:r>
          </w:p>
        </w:tc>
      </w:tr>
      <w:tr w:rsidR="008B7804" w14:paraId="1B678069" w14:textId="77777777">
        <w:tblPrEx>
          <w:tblCellMar>
            <w:top w:w="0" w:type="dxa"/>
            <w:bottom w:w="0" w:type="dxa"/>
          </w:tblCellMar>
        </w:tblPrEx>
        <w:tc>
          <w:tcPr>
            <w:tcW w:w="2000" w:type="dxa"/>
            <w:tcMar>
              <w:top w:w="60" w:type="dxa"/>
              <w:left w:w="100" w:type="dxa"/>
              <w:bottom w:w="60" w:type="dxa"/>
              <w:right w:w="100" w:type="dxa"/>
            </w:tcMar>
          </w:tcPr>
          <w:p w14:paraId="37E1BD53" w14:textId="77777777" w:rsidR="008B7804" w:rsidRDefault="00000000">
            <w:r>
              <w:rPr>
                <w:color w:val="000000"/>
                <w:sz w:val="18"/>
                <w:szCs w:val="18"/>
              </w:rPr>
              <w:t>Volatility</w:t>
            </w:r>
          </w:p>
        </w:tc>
        <w:tc>
          <w:tcPr>
            <w:tcW w:w="3400" w:type="dxa"/>
            <w:tcMar>
              <w:top w:w="60" w:type="dxa"/>
              <w:left w:w="100" w:type="dxa"/>
              <w:bottom w:w="60" w:type="dxa"/>
              <w:right w:w="100" w:type="dxa"/>
            </w:tcMar>
          </w:tcPr>
          <w:p w14:paraId="6A28E953" w14:textId="77777777" w:rsidR="008B7804" w:rsidRDefault="00000000">
            <w:r>
              <w:rPr>
                <w:color w:val="000000"/>
                <w:sz w:val="18"/>
                <w:szCs w:val="18"/>
              </w:rPr>
              <w:t>constant, Heston, Bates</w:t>
            </w:r>
          </w:p>
        </w:tc>
        <w:tc>
          <w:tcPr>
            <w:tcW w:w="4360" w:type="dxa"/>
            <w:tcMar>
              <w:top w:w="60" w:type="dxa"/>
              <w:left w:w="100" w:type="dxa"/>
              <w:bottom w:w="60" w:type="dxa"/>
              <w:right w:w="100" w:type="dxa"/>
            </w:tcMar>
          </w:tcPr>
          <w:p w14:paraId="3E8BFCA1" w14:textId="77777777" w:rsidR="008B7804" w:rsidRDefault="00000000">
            <w:r>
              <w:rPr>
                <w:color w:val="000000"/>
                <w:sz w:val="18"/>
                <w:szCs w:val="18"/>
              </w:rPr>
              <w:t>Gamma, Kappa, Theta; Bates adds jump parameters</w:t>
            </w:r>
          </w:p>
        </w:tc>
      </w:tr>
      <w:tr w:rsidR="008B7804" w14:paraId="6FC80EDD" w14:textId="77777777">
        <w:tblPrEx>
          <w:tblCellMar>
            <w:top w:w="0" w:type="dxa"/>
            <w:bottom w:w="0" w:type="dxa"/>
          </w:tblCellMar>
        </w:tblPrEx>
        <w:tc>
          <w:tcPr>
            <w:tcW w:w="2000" w:type="dxa"/>
            <w:tcMar>
              <w:top w:w="60" w:type="dxa"/>
              <w:left w:w="100" w:type="dxa"/>
              <w:bottom w:w="60" w:type="dxa"/>
              <w:right w:w="100" w:type="dxa"/>
            </w:tcMar>
          </w:tcPr>
          <w:p w14:paraId="6CB60067" w14:textId="77777777" w:rsidR="008B7804" w:rsidRDefault="00000000">
            <w:r>
              <w:rPr>
                <w:color w:val="000000"/>
                <w:sz w:val="18"/>
                <w:szCs w:val="18"/>
              </w:rPr>
              <w:t>Dividend</w:t>
            </w:r>
          </w:p>
        </w:tc>
        <w:tc>
          <w:tcPr>
            <w:tcW w:w="3400" w:type="dxa"/>
            <w:tcMar>
              <w:top w:w="60" w:type="dxa"/>
              <w:left w:w="100" w:type="dxa"/>
              <w:bottom w:w="60" w:type="dxa"/>
              <w:right w:w="100" w:type="dxa"/>
            </w:tcMar>
          </w:tcPr>
          <w:p w14:paraId="1D3A5B78" w14:textId="77777777" w:rsidR="008B7804" w:rsidRDefault="00000000">
            <w:r>
              <w:rPr>
                <w:color w:val="000000"/>
                <w:sz w:val="18"/>
                <w:szCs w:val="18"/>
              </w:rPr>
              <w:t>constant, stochastic</w:t>
            </w:r>
          </w:p>
        </w:tc>
        <w:tc>
          <w:tcPr>
            <w:tcW w:w="4360" w:type="dxa"/>
            <w:tcMar>
              <w:top w:w="60" w:type="dxa"/>
              <w:left w:w="100" w:type="dxa"/>
              <w:bottom w:w="60" w:type="dxa"/>
              <w:right w:w="100" w:type="dxa"/>
            </w:tcMar>
          </w:tcPr>
          <w:p w14:paraId="62D3BB5F" w14:textId="77777777" w:rsidR="008B7804" w:rsidRDefault="00000000">
            <w:r>
              <w:rPr>
                <w:color w:val="000000"/>
                <w:sz w:val="18"/>
                <w:szCs w:val="18"/>
              </w:rPr>
              <w:t>Alpha, Beta, volatility, b</w:t>
            </w:r>
          </w:p>
        </w:tc>
      </w:tr>
      <w:tr w:rsidR="008B7804" w14:paraId="5D1924ED" w14:textId="77777777">
        <w:tblPrEx>
          <w:tblCellMar>
            <w:top w:w="0" w:type="dxa"/>
            <w:bottom w:w="0" w:type="dxa"/>
          </w:tblCellMar>
        </w:tblPrEx>
        <w:tc>
          <w:tcPr>
            <w:tcW w:w="2000" w:type="dxa"/>
            <w:tcMar>
              <w:top w:w="60" w:type="dxa"/>
              <w:left w:w="100" w:type="dxa"/>
              <w:bottom w:w="60" w:type="dxa"/>
              <w:right w:w="100" w:type="dxa"/>
            </w:tcMar>
          </w:tcPr>
          <w:p w14:paraId="68EF2EF1" w14:textId="77777777" w:rsidR="008B7804" w:rsidRDefault="00000000">
            <w:r>
              <w:rPr>
                <w:color w:val="000000"/>
                <w:sz w:val="18"/>
                <w:szCs w:val="18"/>
              </w:rPr>
              <w:t>Sentiment</w:t>
            </w:r>
          </w:p>
        </w:tc>
        <w:tc>
          <w:tcPr>
            <w:tcW w:w="3400" w:type="dxa"/>
            <w:tcMar>
              <w:top w:w="60" w:type="dxa"/>
              <w:left w:w="100" w:type="dxa"/>
              <w:bottom w:w="60" w:type="dxa"/>
              <w:right w:w="100" w:type="dxa"/>
            </w:tcMar>
          </w:tcPr>
          <w:p w14:paraId="3AE8BABA" w14:textId="77777777" w:rsidR="008B7804" w:rsidRDefault="00000000">
            <w:r>
              <w:rPr>
                <w:color w:val="000000"/>
                <w:sz w:val="18"/>
                <w:szCs w:val="18"/>
              </w:rPr>
              <w:t>constant, stochastic, jump</w:t>
            </w:r>
          </w:p>
        </w:tc>
        <w:tc>
          <w:tcPr>
            <w:tcW w:w="4360" w:type="dxa"/>
            <w:tcMar>
              <w:top w:w="60" w:type="dxa"/>
              <w:left w:w="100" w:type="dxa"/>
              <w:bottom w:w="60" w:type="dxa"/>
              <w:right w:w="100" w:type="dxa"/>
            </w:tcMar>
          </w:tcPr>
          <w:p w14:paraId="0D504FFC" w14:textId="77777777" w:rsidR="008B7804" w:rsidRDefault="00000000">
            <w:r>
              <w:rPr>
                <w:color w:val="000000"/>
                <w:sz w:val="18"/>
                <w:szCs w:val="18"/>
              </w:rPr>
              <w:t>Mu, Sigma and jump parameters</w:t>
            </w:r>
          </w:p>
        </w:tc>
      </w:tr>
      <w:tr w:rsidR="008B7804" w14:paraId="52CED281" w14:textId="77777777">
        <w:tblPrEx>
          <w:tblCellMar>
            <w:top w:w="0" w:type="dxa"/>
            <w:bottom w:w="0" w:type="dxa"/>
          </w:tblCellMar>
        </w:tblPrEx>
        <w:tc>
          <w:tcPr>
            <w:tcW w:w="2000" w:type="dxa"/>
            <w:tcMar>
              <w:top w:w="60" w:type="dxa"/>
              <w:left w:w="100" w:type="dxa"/>
              <w:bottom w:w="60" w:type="dxa"/>
              <w:right w:w="100" w:type="dxa"/>
            </w:tcMar>
          </w:tcPr>
          <w:p w14:paraId="28AA82A6" w14:textId="77777777" w:rsidR="008B7804" w:rsidRDefault="00000000">
            <w:r>
              <w:rPr>
                <w:color w:val="000000"/>
                <w:sz w:val="18"/>
                <w:szCs w:val="18"/>
              </w:rPr>
              <w:t>Sentiment volatility</w:t>
            </w:r>
          </w:p>
        </w:tc>
        <w:tc>
          <w:tcPr>
            <w:tcW w:w="3400" w:type="dxa"/>
            <w:tcMar>
              <w:top w:w="60" w:type="dxa"/>
              <w:left w:w="100" w:type="dxa"/>
              <w:bottom w:w="60" w:type="dxa"/>
              <w:right w:w="100" w:type="dxa"/>
            </w:tcMar>
          </w:tcPr>
          <w:p w14:paraId="3062D905" w14:textId="77777777" w:rsidR="008B7804" w:rsidRDefault="00000000">
            <w:r>
              <w:rPr>
                <w:color w:val="000000"/>
                <w:sz w:val="18"/>
                <w:szCs w:val="18"/>
              </w:rPr>
              <w:t>constant, stochastic, jump</w:t>
            </w:r>
          </w:p>
        </w:tc>
        <w:tc>
          <w:tcPr>
            <w:tcW w:w="4360" w:type="dxa"/>
            <w:tcMar>
              <w:top w:w="60" w:type="dxa"/>
              <w:left w:w="100" w:type="dxa"/>
              <w:bottom w:w="60" w:type="dxa"/>
              <w:right w:w="100" w:type="dxa"/>
            </w:tcMar>
          </w:tcPr>
          <w:p w14:paraId="5B2C6FEE" w14:textId="77777777" w:rsidR="008B7804" w:rsidRDefault="00000000">
            <w:r>
              <w:rPr>
                <w:color w:val="000000"/>
                <w:sz w:val="18"/>
                <w:szCs w:val="18"/>
              </w:rPr>
              <w:t>Gamma, Kappa, Theta and jump parameters</w:t>
            </w:r>
          </w:p>
        </w:tc>
      </w:tr>
    </w:tbl>
    <w:p w14:paraId="636E7EEB" w14:textId="77777777" w:rsidR="008B7804" w:rsidRDefault="00000000">
      <w:pPr>
        <w:pStyle w:val="Heading2"/>
        <w:spacing w:before="240" w:after="100"/>
      </w:pPr>
      <w:r>
        <w:t>6.1 Term-structure curves</w:t>
      </w:r>
    </w:p>
    <w:p w14:paraId="2107F855" w14:textId="77777777" w:rsidR="008B7804" w:rsidRDefault="00000000">
      <w:pPr>
        <w:spacing w:after="120"/>
      </w:pPr>
      <w:r>
        <w:t xml:space="preserve">Non-constant rate models accept three optional curves — </w:t>
      </w:r>
      <w:proofErr w:type="spellStart"/>
      <w:r>
        <w:t>theta_t</w:t>
      </w:r>
      <w:proofErr w:type="spellEnd"/>
      <w:r>
        <w:t xml:space="preserve">, </w:t>
      </w:r>
      <w:proofErr w:type="spellStart"/>
      <w:r>
        <w:t>b_t</w:t>
      </w:r>
      <w:proofErr w:type="spellEnd"/>
      <w:r>
        <w:t xml:space="preserve"> and </w:t>
      </w:r>
      <w:proofErr w:type="spellStart"/>
      <w:r>
        <w:t>sigma_t</w:t>
      </w:r>
      <w:proofErr w:type="spellEnd"/>
      <w:r>
        <w:t xml:space="preserve"> — uploaded as single-column CSV files with </w:t>
      </w:r>
      <w:r>
        <w:rPr>
          <w:b/>
          <w:bCs/>
        </w:rPr>
        <w:t>at least M + 1 rows</w:t>
      </w:r>
      <w:r>
        <w:t xml:space="preserve"> (one value per time step, including t = 0). Leave a curve unset to use zeros.</w:t>
      </w:r>
    </w:p>
    <w:p w14:paraId="49CE8B20" w14:textId="77777777" w:rsidR="008B7804" w:rsidRDefault="00000000">
      <w:pPr>
        <w:pStyle w:val="Heading2"/>
        <w:spacing w:before="240" w:after="100"/>
      </w:pPr>
      <w:r>
        <w:t>6.2 Correlations</w:t>
      </w:r>
    </w:p>
    <w:p w14:paraId="13BC37F3" w14:textId="77777777" w:rsidR="008B7804" w:rsidRDefault="00000000">
      <w:pPr>
        <w:spacing w:after="120"/>
      </w:pPr>
      <w:r>
        <w:t>Each non-constant model adds a stochastic factor. Factors are ordered: stock, volatility, sentiment, rate, dividend, sentiment volatility. Studio counts the active factors and asks for a matrix of exactly that size, uploaded as CSV without headers.</w:t>
      </w:r>
    </w:p>
    <w:p w14:paraId="36BB1947" w14:textId="77777777" w:rsidR="008B7804" w:rsidRDefault="00000000">
      <w:pPr>
        <w:spacing w:after="120"/>
      </w:pPr>
      <w:r>
        <w:t>The matrix must be square of the required size, symmetric, with ones on the diagonal, and positive definite. If none is supplied, the identity matrix is used. The resolved dimension and matrix appear in the configuration panel after pricing.</w:t>
      </w:r>
    </w:p>
    <w:p w14:paraId="42C594E1" w14:textId="77777777" w:rsidR="008B7804" w:rsidRDefault="00000000">
      <w:pPr>
        <w:pStyle w:val="Heading2"/>
        <w:spacing w:before="240" w:after="100"/>
      </w:pPr>
      <w:r>
        <w:t>6.3 Stock jumps</w:t>
      </w:r>
    </w:p>
    <w:p w14:paraId="30ED5EA5" w14:textId="77777777" w:rsidR="008B7804" w:rsidRDefault="00000000">
      <w:pPr>
        <w:spacing w:after="120"/>
      </w:pPr>
      <w:r>
        <w:t>Tick Enable stock jumps and set the intensity (Lambda), mean jump size and jump volatility. Jumps combine with every exercise style, wrapper and model.</w:t>
      </w:r>
    </w:p>
    <w:p w14:paraId="1D54B0CB" w14:textId="77777777" w:rsidR="008B7804" w:rsidRDefault="00000000">
      <w:pPr>
        <w:pStyle w:val="Heading1"/>
        <w:spacing w:before="320" w:after="140"/>
      </w:pPr>
      <w:r>
        <w:t>7. Variance reduction</w:t>
      </w:r>
    </w:p>
    <w:p w14:paraId="550F0ED9" w14:textId="77777777" w:rsidR="008B7804" w:rsidRDefault="00000000">
      <w:pPr>
        <w:pStyle w:val="Heading2"/>
        <w:spacing w:before="240" w:after="100"/>
      </w:pPr>
      <w:r>
        <w:t>7.1 Importance sampling</w:t>
      </w:r>
    </w:p>
    <w:p w14:paraId="3DB97007" w14:textId="77777777" w:rsidR="008B7804" w:rsidRDefault="00000000">
      <w:pPr>
        <w:spacing w:after="120"/>
      </w:pPr>
      <w:r>
        <w:t>Importance sampling concentrates simulation effort where the payoff is non-zero, which sharply reduces the error for rare-event contracts. It is available for European exercise only, and each method requires a particular structure:</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5960"/>
      </w:tblGrid>
      <w:tr w:rsidR="008B7804" w14:paraId="5B3B7663" w14:textId="77777777">
        <w:tblPrEx>
          <w:tblCellMar>
            <w:top w:w="0" w:type="dxa"/>
            <w:bottom w:w="0" w:type="dxa"/>
          </w:tblCellMar>
        </w:tblPrEx>
        <w:tc>
          <w:tcPr>
            <w:tcW w:w="3800" w:type="dxa"/>
            <w:shd w:val="clear" w:color="auto" w:fill="1F3864"/>
            <w:tcMar>
              <w:top w:w="60" w:type="dxa"/>
              <w:left w:w="100" w:type="dxa"/>
              <w:bottom w:w="60" w:type="dxa"/>
              <w:right w:w="100" w:type="dxa"/>
            </w:tcMar>
          </w:tcPr>
          <w:p w14:paraId="0E0B842E" w14:textId="77777777" w:rsidR="008B7804" w:rsidRDefault="00000000">
            <w:r>
              <w:rPr>
                <w:b/>
                <w:bCs/>
                <w:color w:val="FFFFFF"/>
                <w:sz w:val="18"/>
                <w:szCs w:val="18"/>
              </w:rPr>
              <w:t>Method</w:t>
            </w:r>
          </w:p>
        </w:tc>
        <w:tc>
          <w:tcPr>
            <w:tcW w:w="5960" w:type="dxa"/>
            <w:shd w:val="clear" w:color="auto" w:fill="1F3864"/>
            <w:tcMar>
              <w:top w:w="60" w:type="dxa"/>
              <w:left w:w="100" w:type="dxa"/>
              <w:bottom w:w="60" w:type="dxa"/>
              <w:right w:w="100" w:type="dxa"/>
            </w:tcMar>
          </w:tcPr>
          <w:p w14:paraId="6ADA7EB3" w14:textId="77777777" w:rsidR="008B7804" w:rsidRDefault="00000000">
            <w:r>
              <w:rPr>
                <w:b/>
                <w:bCs/>
                <w:color w:val="FFFFFF"/>
                <w:sz w:val="18"/>
                <w:szCs w:val="18"/>
              </w:rPr>
              <w:t>Required structure</w:t>
            </w:r>
          </w:p>
        </w:tc>
      </w:tr>
      <w:tr w:rsidR="008B7804" w14:paraId="1C9D7740" w14:textId="77777777">
        <w:tblPrEx>
          <w:tblCellMar>
            <w:top w:w="0" w:type="dxa"/>
            <w:bottom w:w="0" w:type="dxa"/>
          </w:tblCellMar>
        </w:tblPrEx>
        <w:tc>
          <w:tcPr>
            <w:tcW w:w="3800" w:type="dxa"/>
            <w:tcMar>
              <w:top w:w="60" w:type="dxa"/>
              <w:left w:w="100" w:type="dxa"/>
              <w:bottom w:w="60" w:type="dxa"/>
              <w:right w:w="100" w:type="dxa"/>
            </w:tcMar>
          </w:tcPr>
          <w:p w14:paraId="13399A65" w14:textId="77777777" w:rsidR="008B7804" w:rsidRDefault="00000000">
            <w:proofErr w:type="spellStart"/>
            <w:r>
              <w:rPr>
                <w:color w:val="000000"/>
                <w:sz w:val="18"/>
                <w:szCs w:val="18"/>
              </w:rPr>
              <w:t>ChangeOfMean</w:t>
            </w:r>
            <w:proofErr w:type="spellEnd"/>
            <w:r>
              <w:rPr>
                <w:color w:val="000000"/>
                <w:sz w:val="18"/>
                <w:szCs w:val="18"/>
              </w:rPr>
              <w:t>, ChangeOfMean2</w:t>
            </w:r>
          </w:p>
        </w:tc>
        <w:tc>
          <w:tcPr>
            <w:tcW w:w="5960" w:type="dxa"/>
            <w:tcMar>
              <w:top w:w="60" w:type="dxa"/>
              <w:left w:w="100" w:type="dxa"/>
              <w:bottom w:w="60" w:type="dxa"/>
              <w:right w:w="100" w:type="dxa"/>
            </w:tcMar>
          </w:tcPr>
          <w:p w14:paraId="23E4D3C8" w14:textId="77777777" w:rsidR="008B7804" w:rsidRDefault="00000000">
            <w:r>
              <w:rPr>
                <w:color w:val="000000"/>
                <w:sz w:val="18"/>
                <w:szCs w:val="18"/>
              </w:rPr>
              <w:t>Path independent or arithmetic Asian underlying, no wrappers</w:t>
            </w:r>
          </w:p>
        </w:tc>
      </w:tr>
      <w:tr w:rsidR="008B7804" w14:paraId="20E76D00" w14:textId="77777777">
        <w:tblPrEx>
          <w:tblCellMar>
            <w:top w:w="0" w:type="dxa"/>
            <w:bottom w:w="0" w:type="dxa"/>
          </w:tblCellMar>
        </w:tblPrEx>
        <w:tc>
          <w:tcPr>
            <w:tcW w:w="3800" w:type="dxa"/>
            <w:tcMar>
              <w:top w:w="60" w:type="dxa"/>
              <w:left w:w="100" w:type="dxa"/>
              <w:bottom w:w="60" w:type="dxa"/>
              <w:right w:w="100" w:type="dxa"/>
            </w:tcMar>
          </w:tcPr>
          <w:p w14:paraId="5FF492B0" w14:textId="77777777" w:rsidR="008B7804" w:rsidRDefault="00000000">
            <w:proofErr w:type="spellStart"/>
            <w:r>
              <w:rPr>
                <w:color w:val="000000"/>
                <w:sz w:val="18"/>
                <w:szCs w:val="18"/>
              </w:rPr>
              <w:t>ArithmeticAsian</w:t>
            </w:r>
            <w:proofErr w:type="spellEnd"/>
          </w:p>
        </w:tc>
        <w:tc>
          <w:tcPr>
            <w:tcW w:w="5960" w:type="dxa"/>
            <w:tcMar>
              <w:top w:w="60" w:type="dxa"/>
              <w:left w:w="100" w:type="dxa"/>
              <w:bottom w:w="60" w:type="dxa"/>
              <w:right w:w="100" w:type="dxa"/>
            </w:tcMar>
          </w:tcPr>
          <w:p w14:paraId="44AC4BDE" w14:textId="77777777" w:rsidR="008B7804" w:rsidRDefault="00000000">
            <w:r>
              <w:rPr>
                <w:color w:val="000000"/>
                <w:sz w:val="18"/>
                <w:szCs w:val="18"/>
              </w:rPr>
              <w:t>Arithmetic Asian underlying, no wrappers</w:t>
            </w:r>
          </w:p>
        </w:tc>
      </w:tr>
      <w:tr w:rsidR="008B7804" w14:paraId="50779103" w14:textId="77777777">
        <w:tblPrEx>
          <w:tblCellMar>
            <w:top w:w="0" w:type="dxa"/>
            <w:bottom w:w="0" w:type="dxa"/>
          </w:tblCellMar>
        </w:tblPrEx>
        <w:tc>
          <w:tcPr>
            <w:tcW w:w="3800" w:type="dxa"/>
            <w:tcMar>
              <w:top w:w="60" w:type="dxa"/>
              <w:left w:w="100" w:type="dxa"/>
              <w:bottom w:w="60" w:type="dxa"/>
              <w:right w:w="100" w:type="dxa"/>
            </w:tcMar>
          </w:tcPr>
          <w:p w14:paraId="694D5B4F" w14:textId="77777777" w:rsidR="008B7804" w:rsidRDefault="00000000">
            <w:r>
              <w:rPr>
                <w:color w:val="000000"/>
                <w:sz w:val="18"/>
                <w:szCs w:val="18"/>
              </w:rPr>
              <w:t>Barrier methods (</w:t>
            </w:r>
            <w:proofErr w:type="spellStart"/>
            <w:r>
              <w:rPr>
                <w:color w:val="000000"/>
                <w:sz w:val="18"/>
                <w:szCs w:val="18"/>
              </w:rPr>
              <w:t>DownAndIn</w:t>
            </w:r>
            <w:proofErr w:type="spellEnd"/>
            <w:r>
              <w:rPr>
                <w:color w:val="000000"/>
                <w:sz w:val="18"/>
                <w:szCs w:val="18"/>
              </w:rPr>
              <w:t xml:space="preserve">, </w:t>
            </w:r>
            <w:proofErr w:type="spellStart"/>
            <w:r>
              <w:rPr>
                <w:color w:val="000000"/>
                <w:sz w:val="18"/>
                <w:szCs w:val="18"/>
              </w:rPr>
              <w:t>UpAndOut</w:t>
            </w:r>
            <w:proofErr w:type="spellEnd"/>
            <w:r>
              <w:rPr>
                <w:color w:val="000000"/>
                <w:sz w:val="18"/>
                <w:szCs w:val="18"/>
              </w:rPr>
              <w:t xml:space="preserve">, </w:t>
            </w:r>
            <w:proofErr w:type="spellStart"/>
            <w:r>
              <w:rPr>
                <w:color w:val="000000"/>
                <w:sz w:val="18"/>
                <w:szCs w:val="18"/>
              </w:rPr>
              <w:t>DoubleKnockOut</w:t>
            </w:r>
            <w:proofErr w:type="spellEnd"/>
            <w:r>
              <w:rPr>
                <w:color w:val="000000"/>
                <w:sz w:val="18"/>
                <w:szCs w:val="18"/>
              </w:rPr>
              <w:t>, ...)</w:t>
            </w:r>
          </w:p>
        </w:tc>
        <w:tc>
          <w:tcPr>
            <w:tcW w:w="5960" w:type="dxa"/>
            <w:tcMar>
              <w:top w:w="60" w:type="dxa"/>
              <w:left w:w="100" w:type="dxa"/>
              <w:bottom w:w="60" w:type="dxa"/>
              <w:right w:w="100" w:type="dxa"/>
            </w:tcMar>
          </w:tcPr>
          <w:p w14:paraId="57B4DC62" w14:textId="77777777" w:rsidR="008B7804" w:rsidRDefault="00000000">
            <w:r>
              <w:rPr>
                <w:color w:val="000000"/>
                <w:sz w:val="18"/>
                <w:szCs w:val="18"/>
              </w:rPr>
              <w:t>Path independent underlying, barrier wrapper, and the barrier type matching the method name</w:t>
            </w:r>
          </w:p>
        </w:tc>
      </w:tr>
    </w:tbl>
    <w:p w14:paraId="16031222" w14:textId="77777777" w:rsidR="008B7804" w:rsidRDefault="00000000">
      <w:pPr>
        <w:spacing w:after="120"/>
      </w:pPr>
      <w:r>
        <w:t>Studio checks your selection and shows an explicit error in the sidebar before you price if the combination is not supported. The mean tweak parameter shifts the sampling distribution; tune it to the moneyness or barrier level of the contract.</w:t>
      </w:r>
    </w:p>
    <w:p w14:paraId="0EDB675D" w14:textId="77777777" w:rsidR="008B7804" w:rsidRDefault="00000000">
      <w:pPr>
        <w:pStyle w:val="Heading2"/>
        <w:spacing w:before="240" w:after="100"/>
      </w:pPr>
      <w:r>
        <w:t>7.2 Control variates</w:t>
      </w:r>
    </w:p>
    <w:p w14:paraId="1219196E" w14:textId="77777777" w:rsidR="008B7804" w:rsidRDefault="00000000">
      <w:pPr>
        <w:spacing w:after="120"/>
      </w:pPr>
      <w:r>
        <w:t>A control variate prices a second, analytically known contract on the same paths and uses the known answer to correct the estimate. It is available for European exercise only.</w:t>
      </w:r>
    </w:p>
    <w:p w14:paraId="67F13EBD" w14:textId="77777777" w:rsidR="008B7804" w:rsidRDefault="00000000">
      <w:pPr>
        <w:spacing w:after="120"/>
      </w:pPr>
      <w:r>
        <w:lastRenderedPageBreak/>
        <w:t>Choose the control underlying, option type and strike, then supply the control's exact analytical value. Studio can suggest one: select Black-Scholes or Discrete geometric Asian and the field is filled with the corresponding closed-form value for your current inputs. Calibration paths are reserved to estimate the coefficient and are excluded from the final average.</w:t>
      </w:r>
    </w:p>
    <w:p w14:paraId="2D00D831" w14:textId="77777777" w:rsidR="008B7804" w:rsidRDefault="00000000">
      <w:pPr>
        <w:spacing w:after="120"/>
      </w:pPr>
      <w:r>
        <w:t xml:space="preserve">After pricing, read </w:t>
      </w:r>
      <w:proofErr w:type="spellStart"/>
      <w:r>
        <w:rPr>
          <w:rFonts w:ascii="Consolas" w:eastAsia="Consolas" w:hAnsi="Consolas" w:cs="Consolas"/>
        </w:rPr>
        <w:t>control_variate_correlation</w:t>
      </w:r>
      <w:proofErr w:type="spellEnd"/>
      <w:r>
        <w:t>: the closer to ±1, the greater the reduction. Compare the standard error against the same contract priced without the control to measure the benefit.</w:t>
      </w:r>
    </w:p>
    <w:p w14:paraId="14728920" w14:textId="77777777" w:rsidR="008B7804" w:rsidRDefault="00000000">
      <w:pPr>
        <w:pStyle w:val="Heading1"/>
        <w:spacing w:before="320" w:after="140"/>
      </w:pPr>
      <w:r>
        <w:t>8. Sensitivities</w:t>
      </w:r>
    </w:p>
    <w:p w14:paraId="09034262" w14:textId="77777777" w:rsidR="008B7804" w:rsidRDefault="00000000">
      <w:pPr>
        <w:spacing w:after="120"/>
      </w:pPr>
      <w:r>
        <w:t>Press Find sensitivities to obtain finite-difference Greeks alongside the price. Perturbation sets the relative bump size; tick Include the full Hessian for second-order and cross sensitivities, which is considerably slower.</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360"/>
      </w:tblGrid>
      <w:tr w:rsidR="008B7804" w14:paraId="1E04AB72" w14:textId="77777777">
        <w:tblPrEx>
          <w:tblCellMar>
            <w:top w:w="0" w:type="dxa"/>
            <w:bottom w:w="0" w:type="dxa"/>
          </w:tblCellMar>
        </w:tblPrEx>
        <w:tc>
          <w:tcPr>
            <w:tcW w:w="2400" w:type="dxa"/>
            <w:shd w:val="clear" w:color="auto" w:fill="1F3864"/>
            <w:tcMar>
              <w:top w:w="60" w:type="dxa"/>
              <w:left w:w="100" w:type="dxa"/>
              <w:bottom w:w="60" w:type="dxa"/>
              <w:right w:w="100" w:type="dxa"/>
            </w:tcMar>
          </w:tcPr>
          <w:p w14:paraId="5D164E17" w14:textId="77777777" w:rsidR="008B7804" w:rsidRDefault="00000000">
            <w:r>
              <w:rPr>
                <w:b/>
                <w:bCs/>
                <w:color w:val="FFFFFF"/>
                <w:sz w:val="18"/>
                <w:szCs w:val="18"/>
              </w:rPr>
              <w:t>Reported</w:t>
            </w:r>
          </w:p>
        </w:tc>
        <w:tc>
          <w:tcPr>
            <w:tcW w:w="7360" w:type="dxa"/>
            <w:shd w:val="clear" w:color="auto" w:fill="1F3864"/>
            <w:tcMar>
              <w:top w:w="60" w:type="dxa"/>
              <w:left w:w="100" w:type="dxa"/>
              <w:bottom w:w="60" w:type="dxa"/>
              <w:right w:w="100" w:type="dxa"/>
            </w:tcMar>
          </w:tcPr>
          <w:p w14:paraId="3BBEB3CE" w14:textId="77777777" w:rsidR="008B7804" w:rsidRDefault="00000000">
            <w:r>
              <w:rPr>
                <w:b/>
                <w:bCs/>
                <w:color w:val="FFFFFF"/>
                <w:sz w:val="18"/>
                <w:szCs w:val="18"/>
              </w:rPr>
              <w:t>Meaning</w:t>
            </w:r>
          </w:p>
        </w:tc>
      </w:tr>
      <w:tr w:rsidR="008B7804" w14:paraId="3F1E8B3C" w14:textId="77777777">
        <w:tblPrEx>
          <w:tblCellMar>
            <w:top w:w="0" w:type="dxa"/>
            <w:bottom w:w="0" w:type="dxa"/>
          </w:tblCellMar>
        </w:tblPrEx>
        <w:tc>
          <w:tcPr>
            <w:tcW w:w="2400" w:type="dxa"/>
            <w:tcMar>
              <w:top w:w="60" w:type="dxa"/>
              <w:left w:w="100" w:type="dxa"/>
              <w:bottom w:w="60" w:type="dxa"/>
              <w:right w:w="100" w:type="dxa"/>
            </w:tcMar>
          </w:tcPr>
          <w:p w14:paraId="34320470" w14:textId="77777777" w:rsidR="008B7804" w:rsidRDefault="00000000">
            <w:r>
              <w:rPr>
                <w:color w:val="000000"/>
                <w:sz w:val="18"/>
                <w:szCs w:val="18"/>
              </w:rPr>
              <w:t>Delta</w:t>
            </w:r>
          </w:p>
        </w:tc>
        <w:tc>
          <w:tcPr>
            <w:tcW w:w="7360" w:type="dxa"/>
            <w:tcMar>
              <w:top w:w="60" w:type="dxa"/>
              <w:left w:w="100" w:type="dxa"/>
              <w:bottom w:w="60" w:type="dxa"/>
              <w:right w:w="100" w:type="dxa"/>
            </w:tcMar>
          </w:tcPr>
          <w:p w14:paraId="7DE11639" w14:textId="77777777" w:rsidR="008B7804" w:rsidRDefault="00000000">
            <w:r>
              <w:rPr>
                <w:color w:val="000000"/>
                <w:sz w:val="18"/>
                <w:szCs w:val="18"/>
              </w:rPr>
              <w:t>Sensitivity to the initial stock price</w:t>
            </w:r>
          </w:p>
        </w:tc>
      </w:tr>
      <w:tr w:rsidR="008B7804" w14:paraId="73917A37" w14:textId="77777777">
        <w:tblPrEx>
          <w:tblCellMar>
            <w:top w:w="0" w:type="dxa"/>
            <w:bottom w:w="0" w:type="dxa"/>
          </w:tblCellMar>
        </w:tblPrEx>
        <w:tc>
          <w:tcPr>
            <w:tcW w:w="2400" w:type="dxa"/>
            <w:tcMar>
              <w:top w:w="60" w:type="dxa"/>
              <w:left w:w="100" w:type="dxa"/>
              <w:bottom w:w="60" w:type="dxa"/>
              <w:right w:w="100" w:type="dxa"/>
            </w:tcMar>
          </w:tcPr>
          <w:p w14:paraId="11D04076" w14:textId="77777777" w:rsidR="008B7804" w:rsidRDefault="00000000">
            <w:proofErr w:type="spellStart"/>
            <w:r>
              <w:rPr>
                <w:color w:val="000000"/>
                <w:sz w:val="18"/>
                <w:szCs w:val="18"/>
              </w:rPr>
              <w:t>vega</w:t>
            </w:r>
            <w:proofErr w:type="spellEnd"/>
          </w:p>
        </w:tc>
        <w:tc>
          <w:tcPr>
            <w:tcW w:w="7360" w:type="dxa"/>
            <w:tcMar>
              <w:top w:w="60" w:type="dxa"/>
              <w:left w:w="100" w:type="dxa"/>
              <w:bottom w:w="60" w:type="dxa"/>
              <w:right w:w="100" w:type="dxa"/>
            </w:tcMar>
          </w:tcPr>
          <w:p w14:paraId="7D45A32A" w14:textId="77777777" w:rsidR="008B7804" w:rsidRDefault="00000000">
            <w:r>
              <w:rPr>
                <w:color w:val="000000"/>
                <w:sz w:val="18"/>
                <w:szCs w:val="18"/>
              </w:rPr>
              <w:t>Sensitivity to volatility</w:t>
            </w:r>
          </w:p>
        </w:tc>
      </w:tr>
      <w:tr w:rsidR="008B7804" w14:paraId="58B1CB5C" w14:textId="77777777">
        <w:tblPrEx>
          <w:tblCellMar>
            <w:top w:w="0" w:type="dxa"/>
            <w:bottom w:w="0" w:type="dxa"/>
          </w:tblCellMar>
        </w:tblPrEx>
        <w:tc>
          <w:tcPr>
            <w:tcW w:w="2400" w:type="dxa"/>
            <w:tcMar>
              <w:top w:w="60" w:type="dxa"/>
              <w:left w:w="100" w:type="dxa"/>
              <w:bottom w:w="60" w:type="dxa"/>
              <w:right w:w="100" w:type="dxa"/>
            </w:tcMar>
          </w:tcPr>
          <w:p w14:paraId="2F0A88D7" w14:textId="77777777" w:rsidR="008B7804" w:rsidRDefault="00000000">
            <w:r>
              <w:rPr>
                <w:color w:val="000000"/>
                <w:sz w:val="18"/>
                <w:szCs w:val="18"/>
              </w:rPr>
              <w:t>rho</w:t>
            </w:r>
          </w:p>
        </w:tc>
        <w:tc>
          <w:tcPr>
            <w:tcW w:w="7360" w:type="dxa"/>
            <w:tcMar>
              <w:top w:w="60" w:type="dxa"/>
              <w:left w:w="100" w:type="dxa"/>
              <w:bottom w:w="60" w:type="dxa"/>
              <w:right w:w="100" w:type="dxa"/>
            </w:tcMar>
          </w:tcPr>
          <w:p w14:paraId="4230797F" w14:textId="77777777" w:rsidR="008B7804" w:rsidRDefault="00000000">
            <w:r>
              <w:rPr>
                <w:color w:val="000000"/>
                <w:sz w:val="18"/>
                <w:szCs w:val="18"/>
              </w:rPr>
              <w:t>Sensitivity to the interest rate</w:t>
            </w:r>
          </w:p>
        </w:tc>
      </w:tr>
      <w:tr w:rsidR="008B7804" w14:paraId="6A732F0D" w14:textId="77777777">
        <w:tblPrEx>
          <w:tblCellMar>
            <w:top w:w="0" w:type="dxa"/>
            <w:bottom w:w="0" w:type="dxa"/>
          </w:tblCellMar>
        </w:tblPrEx>
        <w:tc>
          <w:tcPr>
            <w:tcW w:w="2400" w:type="dxa"/>
            <w:tcMar>
              <w:top w:w="60" w:type="dxa"/>
              <w:left w:w="100" w:type="dxa"/>
              <w:bottom w:w="60" w:type="dxa"/>
              <w:right w:w="100" w:type="dxa"/>
            </w:tcMar>
          </w:tcPr>
          <w:p w14:paraId="37D37A8A" w14:textId="77777777" w:rsidR="008B7804" w:rsidRDefault="00000000">
            <w:r>
              <w:rPr>
                <w:color w:val="000000"/>
                <w:sz w:val="18"/>
                <w:szCs w:val="18"/>
              </w:rPr>
              <w:t>theta</w:t>
            </w:r>
          </w:p>
        </w:tc>
        <w:tc>
          <w:tcPr>
            <w:tcW w:w="7360" w:type="dxa"/>
            <w:tcMar>
              <w:top w:w="60" w:type="dxa"/>
              <w:left w:w="100" w:type="dxa"/>
              <w:bottom w:w="60" w:type="dxa"/>
              <w:right w:w="100" w:type="dxa"/>
            </w:tcMar>
          </w:tcPr>
          <w:p w14:paraId="4710CC1C" w14:textId="77777777" w:rsidR="008B7804" w:rsidRDefault="00000000">
            <w:r>
              <w:rPr>
                <w:color w:val="000000"/>
                <w:sz w:val="18"/>
                <w:szCs w:val="18"/>
              </w:rPr>
              <w:t>Time sensitivity, reported with the −</w:t>
            </w:r>
            <w:proofErr w:type="spellStart"/>
            <w:r>
              <w:rPr>
                <w:color w:val="000000"/>
                <w:sz w:val="18"/>
                <w:szCs w:val="18"/>
              </w:rPr>
              <w:t>dV</w:t>
            </w:r>
            <w:proofErr w:type="spellEnd"/>
            <w:r>
              <w:rPr>
                <w:color w:val="000000"/>
                <w:sz w:val="18"/>
                <w:szCs w:val="18"/>
              </w:rPr>
              <w:t>/dT convention</w:t>
            </w:r>
          </w:p>
        </w:tc>
      </w:tr>
      <w:tr w:rsidR="008B7804" w14:paraId="362DCEB8" w14:textId="77777777">
        <w:tblPrEx>
          <w:tblCellMar>
            <w:top w:w="0" w:type="dxa"/>
            <w:bottom w:w="0" w:type="dxa"/>
          </w:tblCellMar>
        </w:tblPrEx>
        <w:tc>
          <w:tcPr>
            <w:tcW w:w="2400" w:type="dxa"/>
            <w:tcMar>
              <w:top w:w="60" w:type="dxa"/>
              <w:left w:w="100" w:type="dxa"/>
              <w:bottom w:w="60" w:type="dxa"/>
              <w:right w:w="100" w:type="dxa"/>
            </w:tcMar>
          </w:tcPr>
          <w:p w14:paraId="5FE1009A" w14:textId="77777777" w:rsidR="008B7804" w:rsidRDefault="00000000">
            <w:proofErr w:type="spellStart"/>
            <w:r>
              <w:rPr>
                <w:color w:val="000000"/>
                <w:sz w:val="18"/>
                <w:szCs w:val="18"/>
              </w:rPr>
              <w:t>DeltaDecay</w:t>
            </w:r>
            <w:proofErr w:type="spellEnd"/>
          </w:p>
        </w:tc>
        <w:tc>
          <w:tcPr>
            <w:tcW w:w="7360" w:type="dxa"/>
            <w:tcMar>
              <w:top w:w="60" w:type="dxa"/>
              <w:left w:w="100" w:type="dxa"/>
              <w:bottom w:w="60" w:type="dxa"/>
              <w:right w:w="100" w:type="dxa"/>
            </w:tcMar>
          </w:tcPr>
          <w:p w14:paraId="55E10FF3" w14:textId="77777777" w:rsidR="008B7804" w:rsidRDefault="00000000">
            <w:r>
              <w:rPr>
                <w:color w:val="000000"/>
                <w:sz w:val="18"/>
                <w:szCs w:val="18"/>
              </w:rPr>
              <w:t>Sensitivity to the dividend yield</w:t>
            </w:r>
          </w:p>
        </w:tc>
      </w:tr>
      <w:tr w:rsidR="008B7804" w14:paraId="00C1EF10" w14:textId="77777777">
        <w:tblPrEx>
          <w:tblCellMar>
            <w:top w:w="0" w:type="dxa"/>
            <w:bottom w:w="0" w:type="dxa"/>
          </w:tblCellMar>
        </w:tblPrEx>
        <w:tc>
          <w:tcPr>
            <w:tcW w:w="2400" w:type="dxa"/>
            <w:tcMar>
              <w:top w:w="60" w:type="dxa"/>
              <w:left w:w="100" w:type="dxa"/>
              <w:bottom w:w="60" w:type="dxa"/>
              <w:right w:w="100" w:type="dxa"/>
            </w:tcMar>
          </w:tcPr>
          <w:p w14:paraId="166042D6" w14:textId="77777777" w:rsidR="008B7804" w:rsidRDefault="00000000">
            <w:proofErr w:type="spellStart"/>
            <w:r>
              <w:rPr>
                <w:color w:val="000000"/>
                <w:sz w:val="18"/>
                <w:szCs w:val="18"/>
              </w:rPr>
              <w:t>DeltaSent</w:t>
            </w:r>
            <w:proofErr w:type="spellEnd"/>
          </w:p>
        </w:tc>
        <w:tc>
          <w:tcPr>
            <w:tcW w:w="7360" w:type="dxa"/>
            <w:tcMar>
              <w:top w:w="60" w:type="dxa"/>
              <w:left w:w="100" w:type="dxa"/>
              <w:bottom w:w="60" w:type="dxa"/>
              <w:right w:w="100" w:type="dxa"/>
            </w:tcMar>
          </w:tcPr>
          <w:p w14:paraId="05F0C4FE" w14:textId="77777777" w:rsidR="008B7804" w:rsidRDefault="00000000">
            <w:r>
              <w:rPr>
                <w:color w:val="000000"/>
                <w:sz w:val="18"/>
                <w:szCs w:val="18"/>
              </w:rPr>
              <w:t>Sensitivity to initial sentiment</w:t>
            </w:r>
          </w:p>
        </w:tc>
      </w:tr>
    </w:tbl>
    <w:p w14:paraId="2AFCE16D" w14:textId="77777777" w:rsidR="008B7804" w:rsidRDefault="00000000">
      <w:pPr>
        <w:spacing w:after="120"/>
      </w:pPr>
      <w:r>
        <w:t>Every bumped repricing keeps the full product configuration and uses common random numbers, so the differences are not polluted by simulation noise.</w:t>
      </w:r>
    </w:p>
    <w:p w14:paraId="4260D74F" w14:textId="77777777" w:rsidR="008B7804" w:rsidRDefault="00000000">
      <w:pPr>
        <w:pStyle w:val="Heading1"/>
        <w:spacing w:before="320" w:after="140"/>
      </w:pPr>
      <w:r>
        <w:t>9. Reading the results</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760"/>
      </w:tblGrid>
      <w:tr w:rsidR="008B7804" w14:paraId="78400EE3" w14:textId="77777777">
        <w:tblPrEx>
          <w:tblCellMar>
            <w:top w:w="0" w:type="dxa"/>
            <w:bottom w:w="0" w:type="dxa"/>
          </w:tblCellMar>
        </w:tblPrEx>
        <w:tc>
          <w:tcPr>
            <w:tcW w:w="3000" w:type="dxa"/>
            <w:shd w:val="clear" w:color="auto" w:fill="1F3864"/>
            <w:tcMar>
              <w:top w:w="60" w:type="dxa"/>
              <w:left w:w="100" w:type="dxa"/>
              <w:bottom w:w="60" w:type="dxa"/>
              <w:right w:w="100" w:type="dxa"/>
            </w:tcMar>
          </w:tcPr>
          <w:p w14:paraId="1830C655" w14:textId="77777777" w:rsidR="008B7804" w:rsidRDefault="00000000">
            <w:r>
              <w:rPr>
                <w:b/>
                <w:bCs/>
                <w:color w:val="FFFFFF"/>
                <w:sz w:val="18"/>
                <w:szCs w:val="18"/>
              </w:rPr>
              <w:t>Field</w:t>
            </w:r>
          </w:p>
        </w:tc>
        <w:tc>
          <w:tcPr>
            <w:tcW w:w="6760" w:type="dxa"/>
            <w:shd w:val="clear" w:color="auto" w:fill="1F3864"/>
            <w:tcMar>
              <w:top w:w="60" w:type="dxa"/>
              <w:left w:w="100" w:type="dxa"/>
              <w:bottom w:w="60" w:type="dxa"/>
              <w:right w:w="100" w:type="dxa"/>
            </w:tcMar>
          </w:tcPr>
          <w:p w14:paraId="223577C2" w14:textId="77777777" w:rsidR="008B7804" w:rsidRDefault="00000000">
            <w:r>
              <w:rPr>
                <w:b/>
                <w:bCs/>
                <w:color w:val="FFFFFF"/>
                <w:sz w:val="18"/>
                <w:szCs w:val="18"/>
              </w:rPr>
              <w:t>Interpretation</w:t>
            </w:r>
          </w:p>
        </w:tc>
      </w:tr>
      <w:tr w:rsidR="008B7804" w14:paraId="4EBA2614" w14:textId="77777777">
        <w:tblPrEx>
          <w:tblCellMar>
            <w:top w:w="0" w:type="dxa"/>
            <w:bottom w:w="0" w:type="dxa"/>
          </w:tblCellMar>
        </w:tblPrEx>
        <w:tc>
          <w:tcPr>
            <w:tcW w:w="3000" w:type="dxa"/>
            <w:tcMar>
              <w:top w:w="60" w:type="dxa"/>
              <w:left w:w="100" w:type="dxa"/>
              <w:bottom w:w="60" w:type="dxa"/>
              <w:right w:w="100" w:type="dxa"/>
            </w:tcMar>
          </w:tcPr>
          <w:p w14:paraId="4C880A42" w14:textId="77777777" w:rsidR="008B7804" w:rsidRDefault="00000000">
            <w:r>
              <w:rPr>
                <w:color w:val="000000"/>
                <w:sz w:val="18"/>
                <w:szCs w:val="18"/>
              </w:rPr>
              <w:t>Option value</w:t>
            </w:r>
          </w:p>
        </w:tc>
        <w:tc>
          <w:tcPr>
            <w:tcW w:w="6760" w:type="dxa"/>
            <w:tcMar>
              <w:top w:w="60" w:type="dxa"/>
              <w:left w:w="100" w:type="dxa"/>
              <w:bottom w:w="60" w:type="dxa"/>
              <w:right w:w="100" w:type="dxa"/>
            </w:tcMar>
          </w:tcPr>
          <w:p w14:paraId="19FE601E" w14:textId="77777777" w:rsidR="008B7804" w:rsidRDefault="00000000">
            <w:r>
              <w:rPr>
                <w:color w:val="000000"/>
                <w:sz w:val="18"/>
                <w:szCs w:val="18"/>
              </w:rPr>
              <w:t>The Monte Carlo price.</w:t>
            </w:r>
          </w:p>
        </w:tc>
      </w:tr>
      <w:tr w:rsidR="008B7804" w14:paraId="46B0FCCD" w14:textId="77777777">
        <w:tblPrEx>
          <w:tblCellMar>
            <w:top w:w="0" w:type="dxa"/>
            <w:bottom w:w="0" w:type="dxa"/>
          </w:tblCellMar>
        </w:tblPrEx>
        <w:tc>
          <w:tcPr>
            <w:tcW w:w="3000" w:type="dxa"/>
            <w:tcMar>
              <w:top w:w="60" w:type="dxa"/>
              <w:left w:w="100" w:type="dxa"/>
              <w:bottom w:w="60" w:type="dxa"/>
              <w:right w:w="100" w:type="dxa"/>
            </w:tcMar>
          </w:tcPr>
          <w:p w14:paraId="5653BC88" w14:textId="77777777" w:rsidR="008B7804" w:rsidRDefault="00000000">
            <w:r>
              <w:rPr>
                <w:color w:val="000000"/>
                <w:sz w:val="18"/>
                <w:szCs w:val="18"/>
              </w:rPr>
              <w:t>Standard error</w:t>
            </w:r>
          </w:p>
        </w:tc>
        <w:tc>
          <w:tcPr>
            <w:tcW w:w="6760" w:type="dxa"/>
            <w:tcMar>
              <w:top w:w="60" w:type="dxa"/>
              <w:left w:w="100" w:type="dxa"/>
              <w:bottom w:w="60" w:type="dxa"/>
              <w:right w:w="100" w:type="dxa"/>
            </w:tcMar>
          </w:tcPr>
          <w:p w14:paraId="6574A37E" w14:textId="77777777" w:rsidR="008B7804" w:rsidRDefault="00000000">
            <w:r>
              <w:rPr>
                <w:color w:val="000000"/>
                <w:sz w:val="18"/>
                <w:szCs w:val="18"/>
              </w:rPr>
              <w:t>One standard deviation of the estimate. Roughly, the true value lies within about two standard errors of the price.</w:t>
            </w:r>
          </w:p>
        </w:tc>
      </w:tr>
      <w:tr w:rsidR="008B7804" w14:paraId="091E3C3F" w14:textId="77777777">
        <w:tblPrEx>
          <w:tblCellMar>
            <w:top w:w="0" w:type="dxa"/>
            <w:bottom w:w="0" w:type="dxa"/>
          </w:tblCellMar>
        </w:tblPrEx>
        <w:tc>
          <w:tcPr>
            <w:tcW w:w="3000" w:type="dxa"/>
            <w:tcMar>
              <w:top w:w="60" w:type="dxa"/>
              <w:left w:w="100" w:type="dxa"/>
              <w:bottom w:w="60" w:type="dxa"/>
              <w:right w:w="100" w:type="dxa"/>
            </w:tcMar>
          </w:tcPr>
          <w:p w14:paraId="0EDF311F" w14:textId="77777777" w:rsidR="008B7804" w:rsidRDefault="00000000">
            <w:r>
              <w:rPr>
                <w:color w:val="000000"/>
                <w:sz w:val="18"/>
                <w:szCs w:val="18"/>
              </w:rPr>
              <w:t>Control-variate beta / correlation</w:t>
            </w:r>
          </w:p>
        </w:tc>
        <w:tc>
          <w:tcPr>
            <w:tcW w:w="6760" w:type="dxa"/>
            <w:tcMar>
              <w:top w:w="60" w:type="dxa"/>
              <w:left w:w="100" w:type="dxa"/>
              <w:bottom w:w="60" w:type="dxa"/>
              <w:right w:w="100" w:type="dxa"/>
            </w:tcMar>
          </w:tcPr>
          <w:p w14:paraId="236C3447" w14:textId="77777777" w:rsidR="008B7804" w:rsidRDefault="00000000">
            <w:r>
              <w:rPr>
                <w:color w:val="000000"/>
                <w:sz w:val="18"/>
                <w:szCs w:val="18"/>
              </w:rPr>
              <w:t>Variance-reduction diagnostics, shown when a control variate is used.</w:t>
            </w:r>
          </w:p>
        </w:tc>
      </w:tr>
      <w:tr w:rsidR="008B7804" w14:paraId="62D15E95" w14:textId="77777777">
        <w:tblPrEx>
          <w:tblCellMar>
            <w:top w:w="0" w:type="dxa"/>
            <w:bottom w:w="0" w:type="dxa"/>
          </w:tblCellMar>
        </w:tblPrEx>
        <w:tc>
          <w:tcPr>
            <w:tcW w:w="3000" w:type="dxa"/>
            <w:tcMar>
              <w:top w:w="60" w:type="dxa"/>
              <w:left w:w="100" w:type="dxa"/>
              <w:bottom w:w="60" w:type="dxa"/>
              <w:right w:w="100" w:type="dxa"/>
            </w:tcMar>
          </w:tcPr>
          <w:p w14:paraId="67F9F60E" w14:textId="77777777" w:rsidR="008B7804" w:rsidRDefault="00000000">
            <w:r>
              <w:rPr>
                <w:color w:val="000000"/>
                <w:sz w:val="18"/>
                <w:szCs w:val="18"/>
              </w:rPr>
              <w:t>Price without control variate</w:t>
            </w:r>
          </w:p>
        </w:tc>
        <w:tc>
          <w:tcPr>
            <w:tcW w:w="6760" w:type="dxa"/>
            <w:tcMar>
              <w:top w:w="60" w:type="dxa"/>
              <w:left w:w="100" w:type="dxa"/>
              <w:bottom w:w="60" w:type="dxa"/>
              <w:right w:w="100" w:type="dxa"/>
            </w:tcMar>
          </w:tcPr>
          <w:p w14:paraId="7B6167A0" w14:textId="77777777" w:rsidR="008B7804" w:rsidRDefault="00000000">
            <w:r>
              <w:rPr>
                <w:color w:val="000000"/>
                <w:sz w:val="18"/>
                <w:szCs w:val="18"/>
              </w:rPr>
              <w:t>The uncorrected estimate, for comparison.</w:t>
            </w:r>
          </w:p>
        </w:tc>
      </w:tr>
      <w:tr w:rsidR="008B7804" w14:paraId="151C0DE3" w14:textId="77777777">
        <w:tblPrEx>
          <w:tblCellMar>
            <w:top w:w="0" w:type="dxa"/>
            <w:bottom w:w="0" w:type="dxa"/>
          </w:tblCellMar>
        </w:tblPrEx>
        <w:tc>
          <w:tcPr>
            <w:tcW w:w="3000" w:type="dxa"/>
            <w:tcMar>
              <w:top w:w="60" w:type="dxa"/>
              <w:left w:w="100" w:type="dxa"/>
              <w:bottom w:w="60" w:type="dxa"/>
              <w:right w:w="100" w:type="dxa"/>
            </w:tcMar>
          </w:tcPr>
          <w:p w14:paraId="152664E8" w14:textId="77777777" w:rsidR="008B7804" w:rsidRDefault="00000000">
            <w:r>
              <w:rPr>
                <w:color w:val="000000"/>
                <w:sz w:val="18"/>
                <w:szCs w:val="18"/>
              </w:rPr>
              <w:t>Resolved configuration</w:t>
            </w:r>
          </w:p>
        </w:tc>
        <w:tc>
          <w:tcPr>
            <w:tcW w:w="6760" w:type="dxa"/>
            <w:tcMar>
              <w:top w:w="60" w:type="dxa"/>
              <w:left w:w="100" w:type="dxa"/>
              <w:bottom w:w="60" w:type="dxa"/>
              <w:right w:w="100" w:type="dxa"/>
            </w:tcMar>
          </w:tcPr>
          <w:p w14:paraId="7CF9C589" w14:textId="77777777" w:rsidR="008B7804" w:rsidRDefault="00000000">
            <w:r>
              <w:rPr>
                <w:color w:val="000000"/>
                <w:sz w:val="18"/>
                <w:szCs w:val="18"/>
              </w:rPr>
              <w:t>Exactly how the service interpreted your request: models, wrapper order, jump flags, correlation dimension, effective parameters.</w:t>
            </w:r>
          </w:p>
        </w:tc>
      </w:tr>
    </w:tbl>
    <w:p w14:paraId="704D6D57" w14:textId="77777777" w:rsidR="008B7804" w:rsidRDefault="00000000">
      <w:pPr>
        <w:spacing w:after="120"/>
      </w:pPr>
      <w:r>
        <w:rPr>
          <w:b/>
          <w:bCs/>
        </w:rPr>
        <w:t>The configuration panel is the authoritative record of what was priced.</w:t>
      </w:r>
      <w:r>
        <w:t xml:space="preserve"> If a result surprises you, check it before anything else — particularly wrapper order, lookback, barrier and the stochastic factor flags.</w:t>
      </w:r>
    </w:p>
    <w:p w14:paraId="6568A56E" w14:textId="77777777" w:rsidR="008B7804" w:rsidRDefault="00000000">
      <w:pPr>
        <w:pStyle w:val="Heading1"/>
        <w:spacing w:before="320" w:after="140"/>
      </w:pPr>
      <w:r>
        <w:t>10. Worked recipes</w:t>
      </w:r>
    </w:p>
    <w:p w14:paraId="7A9F4C7E" w14:textId="77777777" w:rsidR="008B7804" w:rsidRDefault="00000000">
      <w:pPr>
        <w:pStyle w:val="Heading2"/>
        <w:spacing w:before="240" w:after="100"/>
      </w:pPr>
      <w:r>
        <w:t>10.1 European call (installation check)</w:t>
      </w:r>
    </w:p>
    <w:p w14:paraId="4C466E51" w14:textId="77777777" w:rsidR="008B7804" w:rsidRDefault="00000000">
      <w:pPr>
        <w:spacing w:after="120"/>
      </w:pPr>
      <w:r>
        <w:t>Defaults throughout: S0 100, K 100, r 0.05, sigma 0.20, T 1, M 50, N 20000, seed 0. Evaluate option returns approximately 10.4932 with a standard error near 0.1037. This exact figure is a useful reference — it should reproduce on any machine.</w:t>
      </w:r>
    </w:p>
    <w:p w14:paraId="4502ECAC" w14:textId="77777777" w:rsidR="008B7804" w:rsidRDefault="00000000">
      <w:pPr>
        <w:pStyle w:val="Heading2"/>
        <w:spacing w:before="240" w:after="100"/>
      </w:pPr>
      <w:r>
        <w:t>10.2 American put</w:t>
      </w:r>
    </w:p>
    <w:p w14:paraId="1C3E54C2" w14:textId="77777777" w:rsidR="008B7804" w:rsidRDefault="00000000">
      <w:pPr>
        <w:spacing w:after="120"/>
      </w:pPr>
      <w:r>
        <w:lastRenderedPageBreak/>
        <w:t xml:space="preserve">Exercise style </w:t>
      </w:r>
      <w:proofErr w:type="spellStart"/>
      <w:r>
        <w:t>AmericanOption</w:t>
      </w:r>
      <w:proofErr w:type="spellEnd"/>
      <w:r>
        <w:t>, option type Put, regression degree 3, exercise points equal to M. The value must be at least the European put; the difference is the early-exercise premium.</w:t>
      </w:r>
    </w:p>
    <w:p w14:paraId="1E465AE3" w14:textId="77777777" w:rsidR="008B7804" w:rsidRDefault="00000000">
      <w:pPr>
        <w:pStyle w:val="Heading2"/>
        <w:spacing w:before="240" w:after="100"/>
      </w:pPr>
      <w:r>
        <w:t>10.3 European down-and-out call</w:t>
      </w:r>
    </w:p>
    <w:p w14:paraId="0C198A17" w14:textId="77777777" w:rsidR="008B7804" w:rsidRDefault="00000000">
      <w:pPr>
        <w:spacing w:after="120"/>
      </w:pPr>
      <w:r>
        <w:t xml:space="preserve">Barrier: yes, </w:t>
      </w:r>
      <w:proofErr w:type="spellStart"/>
      <w:r>
        <w:t>DownAndOutBarrier</w:t>
      </w:r>
      <w:proofErr w:type="spellEnd"/>
      <w:r>
        <w:t>, Up barrier 1e12, Down barrier 95, both rebates 0. The price should be below the plain vanilla call, and the gap widens as the barrier approaches the spot.</w:t>
      </w:r>
    </w:p>
    <w:p w14:paraId="4AD33CBE" w14:textId="77777777" w:rsidR="008B7804" w:rsidRDefault="00000000">
      <w:pPr>
        <w:pStyle w:val="Heading2"/>
        <w:spacing w:before="240" w:after="100"/>
      </w:pPr>
      <w:r>
        <w:t>10.4 Native American lookback on a barrier</w:t>
      </w:r>
    </w:p>
    <w:p w14:paraId="24CE1B31" w14:textId="77777777" w:rsidR="008B7804" w:rsidRDefault="00000000">
      <w:pPr>
        <w:spacing w:after="120"/>
      </w:pPr>
      <w:r>
        <w:t xml:space="preserve">Exercise style </w:t>
      </w:r>
      <w:proofErr w:type="spellStart"/>
      <w:r>
        <w:t>LookBackAmericanOptionFixedStrike</w:t>
      </w:r>
      <w:proofErr w:type="spellEnd"/>
      <w:r>
        <w:t xml:space="preserve">, lookback yes with </w:t>
      </w:r>
      <w:proofErr w:type="spellStart"/>
      <w:r>
        <w:t>LookbacksFixedStrike</w:t>
      </w:r>
      <w:proofErr w:type="spellEnd"/>
      <w:r>
        <w:t xml:space="preserve">, barrier yes with </w:t>
      </w:r>
      <w:proofErr w:type="spellStart"/>
      <w:r>
        <w:t>DoubleKnockOutBarrier</w:t>
      </w:r>
      <w:proofErr w:type="spellEnd"/>
      <w:r>
        <w:t>, Up 115, Down 85; S0 100, K 100, r 0.10, sigma 0.30, T 0.2, M 50, N 5000, seed 0, exercise points 50.</w:t>
      </w:r>
    </w:p>
    <w:p w14:paraId="11F5FC4C" w14:textId="77777777" w:rsidR="008B7804" w:rsidRDefault="00000000">
      <w:pPr>
        <w:spacing w:after="120"/>
      </w:pPr>
      <w:r>
        <w:t xml:space="preserve">This returns </w:t>
      </w:r>
      <w:r>
        <w:rPr>
          <w:rFonts w:ascii="Consolas" w:eastAsia="Consolas" w:hAnsi="Consolas" w:cs="Consolas"/>
        </w:rPr>
        <w:t>7.4989150273884</w:t>
      </w:r>
      <w:r>
        <w:t>. The running maximum enters the exercise decision while the barrier has already amended the paths — a genuinely nested early-exercise product.</w:t>
      </w:r>
    </w:p>
    <w:p w14:paraId="24DCACC1" w14:textId="77777777" w:rsidR="008B7804" w:rsidRDefault="00000000">
      <w:pPr>
        <w:pStyle w:val="Heading2"/>
        <w:spacing w:before="240" w:after="100"/>
      </w:pPr>
      <w:r>
        <w:t>10.5 Heston American call with correlation</w:t>
      </w:r>
    </w:p>
    <w:p w14:paraId="40DC23FB" w14:textId="77777777" w:rsidR="008B7804" w:rsidRDefault="00000000">
      <w:pPr>
        <w:spacing w:after="120"/>
      </w:pPr>
      <w:r>
        <w:t>Volatility model Heston with Gamma 0.10, Kappa 4.0, Theta 0.09. Two factors become active, so Studio asks for a 2 x 2 correlation matrix; upload a CSV containing 1,-0.5 on the first row and -0.5,1 on the second to introduce a leverage effect.</w:t>
      </w:r>
    </w:p>
    <w:p w14:paraId="585D330B" w14:textId="77777777" w:rsidR="008B7804" w:rsidRDefault="00000000">
      <w:pPr>
        <w:pStyle w:val="Heading2"/>
        <w:spacing w:before="240" w:after="100"/>
      </w:pPr>
      <w:r>
        <w:t>10.6 Arithmetic Asian with a geometric control</w:t>
      </w:r>
    </w:p>
    <w:p w14:paraId="0A7C0531" w14:textId="77777777" w:rsidR="008B7804" w:rsidRDefault="00000000">
      <w:pPr>
        <w:spacing w:after="120"/>
      </w:pPr>
      <w:r>
        <w:t>Underlying arithmetic Asian; enable the control variate with control underlying geometric Asian and the suggested Discrete geometric Asian analytical value. Compare the standard error with and without the control at the same N.</w:t>
      </w:r>
    </w:p>
    <w:p w14:paraId="52DFD442" w14:textId="77777777" w:rsidR="008B7804" w:rsidRDefault="00000000">
      <w:pPr>
        <w:pStyle w:val="Heading1"/>
        <w:spacing w:before="320" w:after="140"/>
      </w:pPr>
      <w:r>
        <w:t>11. Reproducibility and good practice</w:t>
      </w:r>
    </w:p>
    <w:p w14:paraId="6FDECF4D" w14:textId="77777777" w:rsidR="008B7804" w:rsidRDefault="00000000">
      <w:pPr>
        <w:pStyle w:val="ListParagraph"/>
        <w:numPr>
          <w:ilvl w:val="0"/>
          <w:numId w:val="2"/>
        </w:numPr>
        <w:spacing w:after="60"/>
      </w:pPr>
      <w:r>
        <w:t>Identical settings with the same seed give identical results — use this to compare configurations fairly.</w:t>
      </w:r>
    </w:p>
    <w:p w14:paraId="51C3A951" w14:textId="77777777" w:rsidR="008B7804" w:rsidRDefault="00000000">
      <w:pPr>
        <w:pStyle w:val="ListParagraph"/>
        <w:numPr>
          <w:ilvl w:val="0"/>
          <w:numId w:val="2"/>
        </w:numPr>
        <w:spacing w:after="60"/>
      </w:pPr>
      <w:r>
        <w:t>Vary only one input at a time when investigating a difference.</w:t>
      </w:r>
    </w:p>
    <w:p w14:paraId="5A437B70" w14:textId="77777777" w:rsidR="008B7804" w:rsidRDefault="00000000">
      <w:pPr>
        <w:pStyle w:val="ListParagraph"/>
        <w:numPr>
          <w:ilvl w:val="0"/>
          <w:numId w:val="2"/>
        </w:numPr>
        <w:spacing w:after="60"/>
      </w:pPr>
      <w:r>
        <w:t>Increase N until the standard error is small relative to the price before drawing conclusions.</w:t>
      </w:r>
    </w:p>
    <w:p w14:paraId="69E370EB" w14:textId="77777777" w:rsidR="008B7804" w:rsidRDefault="00000000">
      <w:pPr>
        <w:pStyle w:val="ListParagraph"/>
        <w:numPr>
          <w:ilvl w:val="0"/>
          <w:numId w:val="2"/>
        </w:numPr>
        <w:spacing w:after="60"/>
      </w:pPr>
      <w:r>
        <w:t>Check convergence by repeating a valuation with two or three different seeds.</w:t>
      </w:r>
    </w:p>
    <w:p w14:paraId="556FE387" w14:textId="77777777" w:rsidR="008B7804" w:rsidRDefault="00000000">
      <w:pPr>
        <w:pStyle w:val="ListParagraph"/>
        <w:numPr>
          <w:ilvl w:val="0"/>
          <w:numId w:val="2"/>
        </w:numPr>
        <w:spacing w:after="60"/>
      </w:pPr>
      <w:r>
        <w:t>Record the resolved configuration alongside any number you intend to rely on.</w:t>
      </w:r>
    </w:p>
    <w:p w14:paraId="40788B0F" w14:textId="77777777" w:rsidR="008B7804" w:rsidRDefault="00000000">
      <w:pPr>
        <w:pStyle w:val="Heading1"/>
        <w:spacing w:before="320" w:after="140"/>
      </w:pPr>
      <w:r>
        <w:t>12. Limits and known behaviour</w:t>
      </w:r>
    </w:p>
    <w:p w14:paraId="6B7B9032" w14:textId="77777777" w:rsidR="008B7804" w:rsidRDefault="00000000">
      <w:pPr>
        <w:pStyle w:val="ListParagraph"/>
        <w:numPr>
          <w:ilvl w:val="0"/>
          <w:numId w:val="2"/>
        </w:numPr>
        <w:spacing w:after="60"/>
      </w:pPr>
      <w:r>
        <w:t>Importance sampling and control variates are available for European exercise only.</w:t>
      </w:r>
    </w:p>
    <w:p w14:paraId="7E57AE85" w14:textId="77777777" w:rsidR="008B7804" w:rsidRDefault="00000000">
      <w:pPr>
        <w:pStyle w:val="ListParagraph"/>
        <w:numPr>
          <w:ilvl w:val="0"/>
          <w:numId w:val="2"/>
        </w:numPr>
        <w:spacing w:after="60"/>
      </w:pPr>
      <w:r>
        <w:t>Rolling-average Asian configuration is not exposed; the standard averaging convention applies.</w:t>
      </w:r>
    </w:p>
    <w:p w14:paraId="04CF14F0" w14:textId="77777777" w:rsidR="008B7804" w:rsidRDefault="00000000">
      <w:pPr>
        <w:pStyle w:val="ListParagraph"/>
        <w:numPr>
          <w:ilvl w:val="0"/>
          <w:numId w:val="2"/>
        </w:numPr>
        <w:spacing w:after="60"/>
      </w:pPr>
      <w:r>
        <w:t xml:space="preserve">Knock-in plus knock-out equals the unwrapped contract only when the barrier is the </w:t>
      </w:r>
      <w:r>
        <w:rPr>
          <w:i/>
          <w:iCs/>
        </w:rPr>
        <w:t>outermost</w:t>
      </w:r>
      <w:r>
        <w:t xml:space="preserve"> wrapper. With a lookback outside the barrier, the barrier amends the paths first, so the identity does not hold — this is a property of the product, not an error.</w:t>
      </w:r>
    </w:p>
    <w:p w14:paraId="1762EEF7" w14:textId="77777777" w:rsidR="008B7804" w:rsidRDefault="00000000">
      <w:pPr>
        <w:pStyle w:val="ListParagraph"/>
        <w:numPr>
          <w:ilvl w:val="0"/>
          <w:numId w:val="2"/>
        </w:numPr>
        <w:spacing w:after="60"/>
      </w:pPr>
      <w:r>
        <w:t>Very large M × N grids can take minutes; reduce N for interactive work and raise it for final numbers.</w:t>
      </w:r>
    </w:p>
    <w:p w14:paraId="497640E9" w14:textId="77777777" w:rsidR="008B7804" w:rsidRDefault="00000000">
      <w:pPr>
        <w:pStyle w:val="ListParagraph"/>
        <w:numPr>
          <w:ilvl w:val="0"/>
          <w:numId w:val="2"/>
        </w:numPr>
        <w:spacing w:after="60"/>
      </w:pPr>
      <w:r>
        <w:t>Requests are processed one at a time, so a large job briefly delays the next one.</w:t>
      </w:r>
    </w:p>
    <w:p w14:paraId="58A519E9" w14:textId="77777777" w:rsidR="008B7804" w:rsidRDefault="00000000">
      <w:pPr>
        <w:pStyle w:val="Heading1"/>
        <w:spacing w:before="320" w:after="140"/>
      </w:pPr>
      <w:r>
        <w:t>13. Errors</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560"/>
      </w:tblGrid>
      <w:tr w:rsidR="008B7804" w14:paraId="2E5CCC04" w14:textId="77777777">
        <w:tblPrEx>
          <w:tblCellMar>
            <w:top w:w="0" w:type="dxa"/>
            <w:bottom w:w="0" w:type="dxa"/>
          </w:tblCellMar>
        </w:tblPrEx>
        <w:tc>
          <w:tcPr>
            <w:tcW w:w="2200" w:type="dxa"/>
            <w:shd w:val="clear" w:color="auto" w:fill="1F3864"/>
            <w:tcMar>
              <w:top w:w="60" w:type="dxa"/>
              <w:left w:w="100" w:type="dxa"/>
              <w:bottom w:w="60" w:type="dxa"/>
              <w:right w:w="100" w:type="dxa"/>
            </w:tcMar>
          </w:tcPr>
          <w:p w14:paraId="50DFF5BB" w14:textId="77777777" w:rsidR="008B7804" w:rsidRDefault="00000000">
            <w:r>
              <w:rPr>
                <w:b/>
                <w:bCs/>
                <w:color w:val="FFFFFF"/>
                <w:sz w:val="18"/>
                <w:szCs w:val="18"/>
              </w:rPr>
              <w:lastRenderedPageBreak/>
              <w:t>Message</w:t>
            </w:r>
          </w:p>
        </w:tc>
        <w:tc>
          <w:tcPr>
            <w:tcW w:w="7560" w:type="dxa"/>
            <w:shd w:val="clear" w:color="auto" w:fill="1F3864"/>
            <w:tcMar>
              <w:top w:w="60" w:type="dxa"/>
              <w:left w:w="100" w:type="dxa"/>
              <w:bottom w:w="60" w:type="dxa"/>
              <w:right w:w="100" w:type="dxa"/>
            </w:tcMar>
          </w:tcPr>
          <w:p w14:paraId="3AE2EAF7" w14:textId="77777777" w:rsidR="008B7804" w:rsidRDefault="00000000">
            <w:r>
              <w:rPr>
                <w:b/>
                <w:bCs/>
                <w:color w:val="FFFFFF"/>
                <w:sz w:val="18"/>
                <w:szCs w:val="18"/>
              </w:rPr>
              <w:t>Meaning</w:t>
            </w:r>
          </w:p>
        </w:tc>
      </w:tr>
      <w:tr w:rsidR="008B7804" w14:paraId="0D2FE488" w14:textId="77777777">
        <w:tblPrEx>
          <w:tblCellMar>
            <w:top w:w="0" w:type="dxa"/>
            <w:bottom w:w="0" w:type="dxa"/>
          </w:tblCellMar>
        </w:tblPrEx>
        <w:tc>
          <w:tcPr>
            <w:tcW w:w="2200" w:type="dxa"/>
            <w:tcMar>
              <w:top w:w="60" w:type="dxa"/>
              <w:left w:w="100" w:type="dxa"/>
              <w:bottom w:w="60" w:type="dxa"/>
              <w:right w:w="100" w:type="dxa"/>
            </w:tcMar>
          </w:tcPr>
          <w:p w14:paraId="390B7777" w14:textId="77777777" w:rsidR="008B7804" w:rsidRDefault="00000000">
            <w:r>
              <w:rPr>
                <w:color w:val="000000"/>
                <w:sz w:val="18"/>
                <w:szCs w:val="18"/>
              </w:rPr>
              <w:t>HTTP 401</w:t>
            </w:r>
          </w:p>
        </w:tc>
        <w:tc>
          <w:tcPr>
            <w:tcW w:w="7560" w:type="dxa"/>
            <w:tcMar>
              <w:top w:w="60" w:type="dxa"/>
              <w:left w:w="100" w:type="dxa"/>
              <w:bottom w:w="60" w:type="dxa"/>
              <w:right w:w="100" w:type="dxa"/>
            </w:tcMar>
          </w:tcPr>
          <w:p w14:paraId="07F2EB0C" w14:textId="77777777" w:rsidR="008B7804" w:rsidRDefault="00000000">
            <w:r>
              <w:rPr>
                <w:color w:val="000000"/>
                <w:sz w:val="18"/>
                <w:szCs w:val="18"/>
              </w:rPr>
              <w:t>Missing, invalid, revoked or over-quota licence key.</w:t>
            </w:r>
          </w:p>
        </w:tc>
      </w:tr>
      <w:tr w:rsidR="008B7804" w14:paraId="2B3D9531" w14:textId="77777777">
        <w:tblPrEx>
          <w:tblCellMar>
            <w:top w:w="0" w:type="dxa"/>
            <w:bottom w:w="0" w:type="dxa"/>
          </w:tblCellMar>
        </w:tblPrEx>
        <w:tc>
          <w:tcPr>
            <w:tcW w:w="2200" w:type="dxa"/>
            <w:tcMar>
              <w:top w:w="60" w:type="dxa"/>
              <w:left w:w="100" w:type="dxa"/>
              <w:bottom w:w="60" w:type="dxa"/>
              <w:right w:w="100" w:type="dxa"/>
            </w:tcMar>
          </w:tcPr>
          <w:p w14:paraId="015EFF97" w14:textId="77777777" w:rsidR="008B7804" w:rsidRDefault="00000000">
            <w:r>
              <w:rPr>
                <w:color w:val="000000"/>
                <w:sz w:val="18"/>
                <w:szCs w:val="18"/>
              </w:rPr>
              <w:t>HTTP 422</w:t>
            </w:r>
          </w:p>
        </w:tc>
        <w:tc>
          <w:tcPr>
            <w:tcW w:w="7560" w:type="dxa"/>
            <w:tcMar>
              <w:top w:w="60" w:type="dxa"/>
              <w:left w:w="100" w:type="dxa"/>
              <w:bottom w:w="60" w:type="dxa"/>
              <w:right w:w="100" w:type="dxa"/>
            </w:tcMar>
          </w:tcPr>
          <w:p w14:paraId="347FF097" w14:textId="77777777" w:rsidR="008B7804" w:rsidRDefault="00000000">
            <w:r>
              <w:rPr>
                <w:color w:val="000000"/>
                <w:sz w:val="18"/>
                <w:szCs w:val="18"/>
              </w:rPr>
              <w:t>A rejected setting — an invalid combination, a malformed correlation matrix, a short term-structure curve, or an unsupported variance-reduction structure. The message states the exact cause.</w:t>
            </w:r>
          </w:p>
        </w:tc>
      </w:tr>
      <w:tr w:rsidR="008B7804" w14:paraId="511D3523" w14:textId="77777777">
        <w:tblPrEx>
          <w:tblCellMar>
            <w:top w:w="0" w:type="dxa"/>
            <w:bottom w:w="0" w:type="dxa"/>
          </w:tblCellMar>
        </w:tblPrEx>
        <w:tc>
          <w:tcPr>
            <w:tcW w:w="2200" w:type="dxa"/>
            <w:tcMar>
              <w:top w:w="60" w:type="dxa"/>
              <w:left w:w="100" w:type="dxa"/>
              <w:bottom w:w="60" w:type="dxa"/>
              <w:right w:w="100" w:type="dxa"/>
            </w:tcMar>
          </w:tcPr>
          <w:p w14:paraId="749150F3" w14:textId="77777777" w:rsidR="008B7804" w:rsidRDefault="00000000">
            <w:r>
              <w:rPr>
                <w:color w:val="000000"/>
                <w:sz w:val="18"/>
                <w:szCs w:val="18"/>
              </w:rPr>
              <w:t>HTTP 429</w:t>
            </w:r>
          </w:p>
        </w:tc>
        <w:tc>
          <w:tcPr>
            <w:tcW w:w="7560" w:type="dxa"/>
            <w:tcMar>
              <w:top w:w="60" w:type="dxa"/>
              <w:left w:w="100" w:type="dxa"/>
              <w:bottom w:w="60" w:type="dxa"/>
              <w:right w:w="100" w:type="dxa"/>
            </w:tcMar>
          </w:tcPr>
          <w:p w14:paraId="05DB822A" w14:textId="77777777" w:rsidR="008B7804" w:rsidRDefault="00000000">
            <w:r>
              <w:rPr>
                <w:color w:val="000000"/>
                <w:sz w:val="18"/>
                <w:szCs w:val="18"/>
              </w:rPr>
              <w:t>Too many requests in one minute; pause and retry.</w:t>
            </w:r>
          </w:p>
        </w:tc>
      </w:tr>
      <w:tr w:rsidR="008B7804" w14:paraId="34B72D8A" w14:textId="77777777">
        <w:tblPrEx>
          <w:tblCellMar>
            <w:top w:w="0" w:type="dxa"/>
            <w:bottom w:w="0" w:type="dxa"/>
          </w:tblCellMar>
        </w:tblPrEx>
        <w:tc>
          <w:tcPr>
            <w:tcW w:w="2200" w:type="dxa"/>
            <w:tcMar>
              <w:top w:w="60" w:type="dxa"/>
              <w:left w:w="100" w:type="dxa"/>
              <w:bottom w:w="60" w:type="dxa"/>
              <w:right w:w="100" w:type="dxa"/>
            </w:tcMar>
          </w:tcPr>
          <w:p w14:paraId="688C5C2D" w14:textId="77777777" w:rsidR="008B7804" w:rsidRDefault="00000000">
            <w:r>
              <w:rPr>
                <w:color w:val="000000"/>
                <w:sz w:val="18"/>
                <w:szCs w:val="18"/>
              </w:rPr>
              <w:t>Could not reach the service</w:t>
            </w:r>
          </w:p>
        </w:tc>
        <w:tc>
          <w:tcPr>
            <w:tcW w:w="7560" w:type="dxa"/>
            <w:tcMar>
              <w:top w:w="60" w:type="dxa"/>
              <w:left w:w="100" w:type="dxa"/>
              <w:bottom w:w="60" w:type="dxa"/>
              <w:right w:w="100" w:type="dxa"/>
            </w:tcMar>
          </w:tcPr>
          <w:p w14:paraId="6BB909BB" w14:textId="77777777" w:rsidR="008B7804" w:rsidRDefault="00000000">
            <w:r>
              <w:rPr>
                <w:color w:val="000000"/>
                <w:sz w:val="18"/>
                <w:szCs w:val="18"/>
              </w:rPr>
              <w:t>Network, proxy or firewall problem.</w:t>
            </w:r>
          </w:p>
        </w:tc>
      </w:tr>
    </w:tbl>
    <w:p w14:paraId="725AE278" w14:textId="77777777" w:rsidR="008B7804" w:rsidRDefault="00000000">
      <w:pPr>
        <w:spacing w:after="120"/>
      </w:pPr>
      <w:r>
        <w:t>Studio shows the service's own message unchanged, so the text can be quoted directly to support.</w:t>
      </w:r>
    </w:p>
    <w:p w14:paraId="23AEFF8B" w14:textId="77777777" w:rsidR="008B7804" w:rsidRDefault="00000000">
      <w:pPr>
        <w:pStyle w:val="Heading1"/>
        <w:spacing w:before="320" w:after="140"/>
      </w:pPr>
      <w:r>
        <w:t>14. Support</w:t>
      </w:r>
    </w:p>
    <w:p w14:paraId="0B8E4B58" w14:textId="77777777" w:rsidR="008B7804" w:rsidRDefault="00000000">
      <w:pPr>
        <w:spacing w:after="120"/>
      </w:pPr>
      <w:r>
        <w:t>Contact Asteroid Belt Trading Company Limited with your company name, the Studio version, the request shown in the Request sent to price() panel, and the complete error message.</w:t>
      </w:r>
    </w:p>
    <w:sectPr w:rsidR="008B7804">
      <w:pgSz w:w="12240" w:h="15840"/>
      <w:pgMar w:top="1240" w:right="1240" w:bottom="1240" w:left="12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118"/>
    <w:multiLevelType w:val="hybridMultilevel"/>
    <w:tmpl w:val="61462198"/>
    <w:lvl w:ilvl="0" w:tplc="36BC3A2E">
      <w:start w:val="1"/>
      <w:numFmt w:val="bullet"/>
      <w:lvlText w:val="•"/>
      <w:lvlJc w:val="left"/>
      <w:pPr>
        <w:ind w:left="360" w:hanging="200"/>
      </w:pPr>
    </w:lvl>
    <w:lvl w:ilvl="1" w:tplc="5840F914">
      <w:numFmt w:val="decimal"/>
      <w:lvlText w:val=""/>
      <w:lvlJc w:val="left"/>
    </w:lvl>
    <w:lvl w:ilvl="2" w:tplc="FA2AB376">
      <w:numFmt w:val="decimal"/>
      <w:lvlText w:val=""/>
      <w:lvlJc w:val="left"/>
    </w:lvl>
    <w:lvl w:ilvl="3" w:tplc="3970D2A0">
      <w:numFmt w:val="decimal"/>
      <w:lvlText w:val=""/>
      <w:lvlJc w:val="left"/>
    </w:lvl>
    <w:lvl w:ilvl="4" w:tplc="E96C8F46">
      <w:numFmt w:val="decimal"/>
      <w:lvlText w:val=""/>
      <w:lvlJc w:val="left"/>
    </w:lvl>
    <w:lvl w:ilvl="5" w:tplc="E27093D4">
      <w:numFmt w:val="decimal"/>
      <w:lvlText w:val=""/>
      <w:lvlJc w:val="left"/>
    </w:lvl>
    <w:lvl w:ilvl="6" w:tplc="A82639C4">
      <w:numFmt w:val="decimal"/>
      <w:lvlText w:val=""/>
      <w:lvlJc w:val="left"/>
    </w:lvl>
    <w:lvl w:ilvl="7" w:tplc="7A9409A8">
      <w:numFmt w:val="decimal"/>
      <w:lvlText w:val=""/>
      <w:lvlJc w:val="left"/>
    </w:lvl>
    <w:lvl w:ilvl="8" w:tplc="AC3037AE">
      <w:numFmt w:val="decimal"/>
      <w:lvlText w:val=""/>
      <w:lvlJc w:val="left"/>
    </w:lvl>
  </w:abstractNum>
  <w:abstractNum w:abstractNumId="1" w15:restartNumberingAfterBreak="0">
    <w:nsid w:val="30446AED"/>
    <w:multiLevelType w:val="hybridMultilevel"/>
    <w:tmpl w:val="B8A88E0C"/>
    <w:lvl w:ilvl="0" w:tplc="D556DAA0">
      <w:start w:val="1"/>
      <w:numFmt w:val="bullet"/>
      <w:lvlText w:val="●"/>
      <w:lvlJc w:val="left"/>
      <w:pPr>
        <w:ind w:left="720" w:hanging="360"/>
      </w:pPr>
    </w:lvl>
    <w:lvl w:ilvl="1" w:tplc="B7DE572E">
      <w:start w:val="1"/>
      <w:numFmt w:val="bullet"/>
      <w:lvlText w:val="○"/>
      <w:lvlJc w:val="left"/>
      <w:pPr>
        <w:ind w:left="1440" w:hanging="360"/>
      </w:pPr>
    </w:lvl>
    <w:lvl w:ilvl="2" w:tplc="D736D9C8">
      <w:start w:val="1"/>
      <w:numFmt w:val="bullet"/>
      <w:lvlText w:val="■"/>
      <w:lvlJc w:val="left"/>
      <w:pPr>
        <w:ind w:left="2160" w:hanging="360"/>
      </w:pPr>
    </w:lvl>
    <w:lvl w:ilvl="3" w:tplc="7BC6BBEA">
      <w:start w:val="1"/>
      <w:numFmt w:val="bullet"/>
      <w:lvlText w:val="●"/>
      <w:lvlJc w:val="left"/>
      <w:pPr>
        <w:ind w:left="2880" w:hanging="360"/>
      </w:pPr>
    </w:lvl>
    <w:lvl w:ilvl="4" w:tplc="B554DB4C">
      <w:start w:val="1"/>
      <w:numFmt w:val="bullet"/>
      <w:lvlText w:val="○"/>
      <w:lvlJc w:val="left"/>
      <w:pPr>
        <w:ind w:left="3600" w:hanging="360"/>
      </w:pPr>
    </w:lvl>
    <w:lvl w:ilvl="5" w:tplc="A5F415A4">
      <w:start w:val="1"/>
      <w:numFmt w:val="bullet"/>
      <w:lvlText w:val="■"/>
      <w:lvlJc w:val="left"/>
      <w:pPr>
        <w:ind w:left="4320" w:hanging="360"/>
      </w:pPr>
    </w:lvl>
    <w:lvl w:ilvl="6" w:tplc="A002FD00">
      <w:start w:val="1"/>
      <w:numFmt w:val="bullet"/>
      <w:lvlText w:val="●"/>
      <w:lvlJc w:val="left"/>
      <w:pPr>
        <w:ind w:left="5040" w:hanging="360"/>
      </w:pPr>
    </w:lvl>
    <w:lvl w:ilvl="7" w:tplc="70D4D818">
      <w:start w:val="1"/>
      <w:numFmt w:val="bullet"/>
      <w:lvlText w:val="●"/>
      <w:lvlJc w:val="left"/>
      <w:pPr>
        <w:ind w:left="5760" w:hanging="360"/>
      </w:pPr>
    </w:lvl>
    <w:lvl w:ilvl="8" w:tplc="D3E6987C">
      <w:start w:val="1"/>
      <w:numFmt w:val="bullet"/>
      <w:lvlText w:val="●"/>
      <w:lvlJc w:val="left"/>
      <w:pPr>
        <w:ind w:left="6480" w:hanging="360"/>
      </w:pPr>
    </w:lvl>
  </w:abstractNum>
  <w:abstractNum w:abstractNumId="2" w15:restartNumberingAfterBreak="0">
    <w:nsid w:val="315C4235"/>
    <w:multiLevelType w:val="hybridMultilevel"/>
    <w:tmpl w:val="3F9467A6"/>
    <w:lvl w:ilvl="0" w:tplc="B98EFB70">
      <w:start w:val="1"/>
      <w:numFmt w:val="decimal"/>
      <w:lvlText w:val="%1."/>
      <w:lvlJc w:val="left"/>
      <w:pPr>
        <w:ind w:left="360" w:hanging="220"/>
      </w:pPr>
    </w:lvl>
    <w:lvl w:ilvl="1" w:tplc="8D86B306">
      <w:numFmt w:val="decimal"/>
      <w:lvlText w:val=""/>
      <w:lvlJc w:val="left"/>
    </w:lvl>
    <w:lvl w:ilvl="2" w:tplc="6C72DDAE">
      <w:numFmt w:val="decimal"/>
      <w:lvlText w:val=""/>
      <w:lvlJc w:val="left"/>
    </w:lvl>
    <w:lvl w:ilvl="3" w:tplc="0D502CE0">
      <w:numFmt w:val="decimal"/>
      <w:lvlText w:val=""/>
      <w:lvlJc w:val="left"/>
    </w:lvl>
    <w:lvl w:ilvl="4" w:tplc="FA20440E">
      <w:numFmt w:val="decimal"/>
      <w:lvlText w:val=""/>
      <w:lvlJc w:val="left"/>
    </w:lvl>
    <w:lvl w:ilvl="5" w:tplc="46360808">
      <w:numFmt w:val="decimal"/>
      <w:lvlText w:val=""/>
      <w:lvlJc w:val="left"/>
    </w:lvl>
    <w:lvl w:ilvl="6" w:tplc="6A802B0A">
      <w:numFmt w:val="decimal"/>
      <w:lvlText w:val=""/>
      <w:lvlJc w:val="left"/>
    </w:lvl>
    <w:lvl w:ilvl="7" w:tplc="86A4BC6C">
      <w:numFmt w:val="decimal"/>
      <w:lvlText w:val=""/>
      <w:lvlJc w:val="left"/>
    </w:lvl>
    <w:lvl w:ilvl="8" w:tplc="308E1B32">
      <w:numFmt w:val="decimal"/>
      <w:lvlText w:val=""/>
      <w:lvlJc w:val="left"/>
    </w:lvl>
  </w:abstractNum>
  <w:num w:numId="1" w16cid:durableId="768816096">
    <w:abstractNumId w:val="1"/>
    <w:lvlOverride w:ilvl="0">
      <w:startOverride w:val="1"/>
    </w:lvlOverride>
  </w:num>
  <w:num w:numId="2" w16cid:durableId="8753932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04"/>
    <w:rsid w:val="001D27F1"/>
    <w:rsid w:val="008B7804"/>
    <w:rsid w:val="00D32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DE243"/>
  <w15:docId w15:val="{C4837333-A7A9-4162-8C5E-5E2E4D48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32"/>
      <w:szCs w:val="32"/>
    </w:rPr>
  </w:style>
  <w:style w:type="paragraph" w:styleId="Heading2">
    <w:name w:val="heading 2"/>
    <w:uiPriority w:val="9"/>
    <w:unhideWhenUsed/>
    <w:qFormat/>
    <w:pPr>
      <w:outlineLvl w:val="1"/>
    </w:pPr>
    <w:rPr>
      <w:b/>
      <w:bCs/>
      <w:color w:val="2E5496"/>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1926</Words>
  <Characters>10981</Characters>
  <Application>Microsoft Office Word</Application>
  <DocSecurity>0</DocSecurity>
  <Lines>91</Lines>
  <Paragraphs>25</Paragraphs>
  <ScaleCrop>false</ScaleCrop>
  <Company/>
  <LinksUpToDate>false</LinksUpToDate>
  <CharactersWithSpaces>12882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Aris Skliros</cp:lastModifiedBy>
  <cp:revision>2</cp:revision>
  <dcterms:created xsi:type="dcterms:W3CDTF">2026-07-26T12:35:00Z</dcterms:created>
  <dcterms:modified xsi:type="dcterms:W3CDTF">2026-07-26T12:35:00Z</dcterms:modified>
</cp:coreProperties>
</file>